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华文行楷" w:hAnsi="华文行楷" w:eastAsia="华文行楷" w:cs="华文行楷"/>
          <w:b/>
          <w:bCs/>
          <w:sz w:val="84"/>
          <w:szCs w:val="84"/>
          <w:lang w:val="en-US" w:eastAsia="zh-CN"/>
        </w:rPr>
      </w:pPr>
      <w:r>
        <w:rPr>
          <w:rFonts w:hint="eastAsia" w:ascii="华文行楷" w:hAnsi="华文行楷" w:eastAsia="华文行楷" w:cs="华文行楷"/>
          <w:b/>
          <w:bCs/>
          <w:sz w:val="84"/>
          <w:szCs w:val="84"/>
          <w:lang w:val="en-US" w:eastAsia="zh-CN"/>
        </w:rPr>
        <w:t>盐都区博物馆</w:t>
      </w:r>
    </w:p>
    <w:p>
      <w:pPr>
        <w:jc w:val="center"/>
        <w:rPr>
          <w:rFonts w:hint="eastAsia" w:ascii="宋体" w:hAnsi="宋体" w:eastAsia="宋体" w:cs="宋体"/>
          <w:b/>
          <w:bCs/>
          <w:sz w:val="44"/>
          <w:szCs w:val="44"/>
          <w:lang w:val="en-US" w:eastAsia="zh-CN"/>
        </w:rPr>
      </w:pP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游</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客</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参</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观</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观众调查报告</w:t>
      </w:r>
    </w:p>
    <w:p>
      <w:pPr>
        <w:jc w:val="center"/>
        <w:rPr>
          <w:rFonts w:hint="default" w:ascii="宋体" w:hAnsi="宋体" w:eastAsia="宋体" w:cs="宋体"/>
          <w:b/>
          <w:bCs/>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lang w:val="en-US" w:eastAsia="zh-CN"/>
        </w:rPr>
        <w:t>（2022年12月）</w:t>
      </w:r>
    </w:p>
    <w:sdt>
      <w:sdtPr>
        <w:rPr>
          <w:rFonts w:ascii="宋体" w:hAnsi="宋体" w:eastAsia="宋体" w:cstheme="minorBidi"/>
          <w:kern w:val="2"/>
          <w:sz w:val="21"/>
          <w:szCs w:val="24"/>
          <w:lang w:val="en-US" w:eastAsia="zh-CN" w:bidi="ar-SA"/>
        </w:rPr>
        <w:id w:val="14745916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w:t>
          </w:r>
          <w:r>
            <w:rPr>
              <w:rFonts w:hint="eastAsia" w:ascii="宋体" w:hAnsi="宋体" w:eastAsia="宋体"/>
              <w:sz w:val="52"/>
              <w:szCs w:val="52"/>
              <w:lang w:val="en-US" w:eastAsia="zh-CN"/>
            </w:rPr>
            <w:t xml:space="preserve"> </w:t>
          </w:r>
          <w:r>
            <w:rPr>
              <w:rFonts w:ascii="宋体" w:hAnsi="宋体" w:eastAsia="宋体"/>
              <w:sz w:val="52"/>
              <w:szCs w:val="52"/>
            </w:rPr>
            <w:t>录</w:t>
          </w:r>
        </w:p>
        <w:p>
          <w:pPr>
            <w:pStyle w:val="4"/>
            <w:tabs>
              <w:tab w:val="right" w:leader="dot" w:pos="8306"/>
            </w:tabs>
            <w:rPr>
              <w:sz w:val="36"/>
              <w:szCs w:val="36"/>
            </w:rPr>
          </w:pPr>
          <w:r>
            <w:rPr>
              <w:rFonts w:hint="eastAsia"/>
            </w:rPr>
            <w:fldChar w:fldCharType="begin"/>
          </w:r>
          <w:r>
            <w:rPr>
              <w:rFonts w:hint="eastAsia"/>
            </w:rPr>
            <w:instrText xml:space="preserve">TOC \o "1-3" \h \u </w:instrText>
          </w:r>
          <w:r>
            <w:rPr>
              <w:rFonts w:hint="eastAsia"/>
            </w:rPr>
            <w:fldChar w:fldCharType="separate"/>
          </w:r>
          <w:r>
            <w:rPr>
              <w:rFonts w:hint="eastAsia"/>
              <w:sz w:val="36"/>
              <w:szCs w:val="36"/>
            </w:rPr>
            <w:fldChar w:fldCharType="begin"/>
          </w:r>
          <w:r>
            <w:rPr>
              <w:rFonts w:hint="eastAsia"/>
              <w:sz w:val="36"/>
              <w:szCs w:val="36"/>
            </w:rPr>
            <w:instrText xml:space="preserve"> HYPERLINK \l _Toc18291 </w:instrText>
          </w:r>
          <w:r>
            <w:rPr>
              <w:rFonts w:hint="eastAsia"/>
              <w:sz w:val="36"/>
              <w:szCs w:val="36"/>
            </w:rPr>
            <w:fldChar w:fldCharType="separate"/>
          </w:r>
          <w:r>
            <w:rPr>
              <w:rFonts w:hint="eastAsia"/>
              <w:sz w:val="36"/>
              <w:szCs w:val="36"/>
              <w:lang w:val="en-US" w:eastAsia="zh-CN"/>
            </w:rPr>
            <w:t>1.</w:t>
          </w:r>
          <w:r>
            <w:rPr>
              <w:rFonts w:hint="eastAsia"/>
              <w:sz w:val="36"/>
              <w:szCs w:val="36"/>
            </w:rPr>
            <w:t>调查背景</w:t>
          </w:r>
          <w:r>
            <w:rPr>
              <w:sz w:val="36"/>
              <w:szCs w:val="36"/>
            </w:rPr>
            <w:tab/>
          </w:r>
          <w:r>
            <w:rPr>
              <w:sz w:val="36"/>
              <w:szCs w:val="36"/>
            </w:rPr>
            <w:fldChar w:fldCharType="begin"/>
          </w:r>
          <w:r>
            <w:rPr>
              <w:sz w:val="36"/>
              <w:szCs w:val="36"/>
            </w:rPr>
            <w:instrText xml:space="preserve"> PAGEREF _Toc18291 \h </w:instrText>
          </w:r>
          <w:r>
            <w:rPr>
              <w:sz w:val="36"/>
              <w:szCs w:val="36"/>
            </w:rPr>
            <w:fldChar w:fldCharType="separate"/>
          </w:r>
          <w:r>
            <w:rPr>
              <w:sz w:val="36"/>
              <w:szCs w:val="36"/>
            </w:rPr>
            <w:t>3</w:t>
          </w:r>
          <w:r>
            <w:rPr>
              <w:sz w:val="36"/>
              <w:szCs w:val="36"/>
            </w:rPr>
            <w:fldChar w:fldCharType="end"/>
          </w:r>
          <w:r>
            <w:rPr>
              <w:rFonts w:hint="eastAsia"/>
              <w:sz w:val="36"/>
              <w:szCs w:val="36"/>
            </w:rPr>
            <w:fldChar w:fldCharType="end"/>
          </w:r>
        </w:p>
        <w:p>
          <w:pPr>
            <w:pStyle w:val="4"/>
            <w:tabs>
              <w:tab w:val="right" w:leader="dot" w:pos="8306"/>
            </w:tabs>
            <w:rPr>
              <w:sz w:val="36"/>
              <w:szCs w:val="36"/>
            </w:rPr>
          </w:pPr>
          <w:r>
            <w:rPr>
              <w:rFonts w:hint="eastAsia"/>
              <w:sz w:val="36"/>
              <w:szCs w:val="36"/>
            </w:rPr>
            <w:fldChar w:fldCharType="begin"/>
          </w:r>
          <w:r>
            <w:rPr>
              <w:rFonts w:hint="eastAsia"/>
              <w:sz w:val="36"/>
              <w:szCs w:val="36"/>
            </w:rPr>
            <w:instrText xml:space="preserve"> HYPERLINK \l _Toc17661 </w:instrText>
          </w:r>
          <w:r>
            <w:rPr>
              <w:rFonts w:hint="eastAsia"/>
              <w:sz w:val="36"/>
              <w:szCs w:val="36"/>
            </w:rPr>
            <w:fldChar w:fldCharType="separate"/>
          </w:r>
          <w:r>
            <w:rPr>
              <w:rFonts w:hint="eastAsia"/>
              <w:sz w:val="36"/>
              <w:szCs w:val="36"/>
            </w:rPr>
            <w:t>2.实施方法</w:t>
          </w:r>
          <w:r>
            <w:rPr>
              <w:sz w:val="36"/>
              <w:szCs w:val="36"/>
            </w:rPr>
            <w:tab/>
          </w:r>
          <w:r>
            <w:rPr>
              <w:sz w:val="36"/>
              <w:szCs w:val="36"/>
            </w:rPr>
            <w:fldChar w:fldCharType="begin"/>
          </w:r>
          <w:r>
            <w:rPr>
              <w:sz w:val="36"/>
              <w:szCs w:val="36"/>
            </w:rPr>
            <w:instrText xml:space="preserve"> PAGEREF _Toc17661 \h </w:instrText>
          </w:r>
          <w:r>
            <w:rPr>
              <w:sz w:val="36"/>
              <w:szCs w:val="36"/>
            </w:rPr>
            <w:fldChar w:fldCharType="separate"/>
          </w:r>
          <w:r>
            <w:rPr>
              <w:sz w:val="36"/>
              <w:szCs w:val="36"/>
            </w:rPr>
            <w:t>4</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_Toc21920 </w:instrText>
          </w:r>
          <w:r>
            <w:rPr>
              <w:rFonts w:hint="eastAsia"/>
              <w:sz w:val="36"/>
              <w:szCs w:val="36"/>
            </w:rPr>
            <w:fldChar w:fldCharType="separate"/>
          </w:r>
          <w:r>
            <w:rPr>
              <w:rFonts w:hint="eastAsia"/>
              <w:sz w:val="36"/>
              <w:szCs w:val="36"/>
            </w:rPr>
            <w:t>2.1 概念界定</w:t>
          </w:r>
          <w:r>
            <w:rPr>
              <w:sz w:val="36"/>
              <w:szCs w:val="36"/>
            </w:rPr>
            <w:tab/>
          </w:r>
          <w:r>
            <w:rPr>
              <w:sz w:val="36"/>
              <w:szCs w:val="36"/>
            </w:rPr>
            <w:fldChar w:fldCharType="begin"/>
          </w:r>
          <w:r>
            <w:rPr>
              <w:sz w:val="36"/>
              <w:szCs w:val="36"/>
            </w:rPr>
            <w:instrText xml:space="preserve"> PAGEREF _Toc21920 \h </w:instrText>
          </w:r>
          <w:r>
            <w:rPr>
              <w:sz w:val="36"/>
              <w:szCs w:val="36"/>
            </w:rPr>
            <w:fldChar w:fldCharType="separate"/>
          </w:r>
          <w:r>
            <w:rPr>
              <w:sz w:val="36"/>
              <w:szCs w:val="36"/>
            </w:rPr>
            <w:t>4</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_Toc21474 </w:instrText>
          </w:r>
          <w:r>
            <w:rPr>
              <w:rFonts w:hint="eastAsia"/>
              <w:sz w:val="36"/>
              <w:szCs w:val="36"/>
            </w:rPr>
            <w:fldChar w:fldCharType="separate"/>
          </w:r>
          <w:r>
            <w:rPr>
              <w:rFonts w:hint="eastAsia"/>
              <w:sz w:val="36"/>
              <w:szCs w:val="36"/>
            </w:rPr>
            <w:t>2.2 调查方法</w:t>
          </w:r>
          <w:r>
            <w:rPr>
              <w:sz w:val="36"/>
              <w:szCs w:val="36"/>
            </w:rPr>
            <w:tab/>
          </w:r>
          <w:r>
            <w:rPr>
              <w:sz w:val="36"/>
              <w:szCs w:val="36"/>
            </w:rPr>
            <w:fldChar w:fldCharType="begin"/>
          </w:r>
          <w:r>
            <w:rPr>
              <w:sz w:val="36"/>
              <w:szCs w:val="36"/>
            </w:rPr>
            <w:instrText xml:space="preserve"> PAGEREF _Toc21474 \h </w:instrText>
          </w:r>
          <w:r>
            <w:rPr>
              <w:sz w:val="36"/>
              <w:szCs w:val="36"/>
            </w:rPr>
            <w:fldChar w:fldCharType="separate"/>
          </w:r>
          <w:r>
            <w:rPr>
              <w:sz w:val="36"/>
              <w:szCs w:val="36"/>
            </w:rPr>
            <w:t>5</w:t>
          </w:r>
          <w:r>
            <w:rPr>
              <w:sz w:val="36"/>
              <w:szCs w:val="36"/>
            </w:rPr>
            <w:fldChar w:fldCharType="end"/>
          </w:r>
          <w:r>
            <w:rPr>
              <w:rFonts w:hint="eastAsia"/>
              <w:sz w:val="36"/>
              <w:szCs w:val="36"/>
            </w:rPr>
            <w:fldChar w:fldCharType="end"/>
          </w:r>
        </w:p>
        <w:p>
          <w:pPr>
            <w:pStyle w:val="4"/>
            <w:tabs>
              <w:tab w:val="right" w:leader="dot" w:pos="8306"/>
            </w:tabs>
            <w:rPr>
              <w:sz w:val="36"/>
              <w:szCs w:val="36"/>
            </w:rPr>
          </w:pPr>
          <w:r>
            <w:rPr>
              <w:rFonts w:hint="eastAsia"/>
              <w:sz w:val="36"/>
              <w:szCs w:val="36"/>
            </w:rPr>
            <w:fldChar w:fldCharType="begin"/>
          </w:r>
          <w:r>
            <w:rPr>
              <w:rFonts w:hint="eastAsia"/>
              <w:sz w:val="36"/>
              <w:szCs w:val="36"/>
            </w:rPr>
            <w:instrText xml:space="preserve"> HYPERLINK \l _Toc9424 </w:instrText>
          </w:r>
          <w:r>
            <w:rPr>
              <w:rFonts w:hint="eastAsia"/>
              <w:sz w:val="36"/>
              <w:szCs w:val="36"/>
            </w:rPr>
            <w:fldChar w:fldCharType="separate"/>
          </w:r>
          <w:r>
            <w:rPr>
              <w:rFonts w:hint="eastAsia"/>
              <w:sz w:val="36"/>
              <w:szCs w:val="36"/>
              <w:lang w:val="en-US" w:eastAsia="zh-CN"/>
            </w:rPr>
            <w:t>3.</w:t>
          </w:r>
          <w:r>
            <w:rPr>
              <w:rFonts w:hint="eastAsia"/>
              <w:sz w:val="36"/>
              <w:szCs w:val="36"/>
            </w:rPr>
            <w:t>调查结果分析</w:t>
          </w:r>
          <w:r>
            <w:rPr>
              <w:sz w:val="36"/>
              <w:szCs w:val="36"/>
            </w:rPr>
            <w:tab/>
          </w:r>
          <w:r>
            <w:rPr>
              <w:sz w:val="36"/>
              <w:szCs w:val="36"/>
            </w:rPr>
            <w:fldChar w:fldCharType="begin"/>
          </w:r>
          <w:r>
            <w:rPr>
              <w:sz w:val="36"/>
              <w:szCs w:val="36"/>
            </w:rPr>
            <w:instrText xml:space="preserve"> PAGEREF _Toc9424 \h </w:instrText>
          </w:r>
          <w:r>
            <w:rPr>
              <w:sz w:val="36"/>
              <w:szCs w:val="36"/>
            </w:rPr>
            <w:fldChar w:fldCharType="separate"/>
          </w:r>
          <w:r>
            <w:rPr>
              <w:sz w:val="36"/>
              <w:szCs w:val="36"/>
            </w:rPr>
            <w:t>6</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_Toc31320 </w:instrText>
          </w:r>
          <w:r>
            <w:rPr>
              <w:rFonts w:hint="eastAsia"/>
              <w:sz w:val="36"/>
              <w:szCs w:val="36"/>
            </w:rPr>
            <w:fldChar w:fldCharType="separate"/>
          </w:r>
          <w:r>
            <w:rPr>
              <w:rFonts w:hint="eastAsia"/>
              <w:sz w:val="36"/>
              <w:szCs w:val="36"/>
            </w:rPr>
            <w:t>3.1 观众描述</w:t>
          </w:r>
          <w:r>
            <w:rPr>
              <w:sz w:val="36"/>
              <w:szCs w:val="36"/>
            </w:rPr>
            <w:tab/>
          </w:r>
          <w:r>
            <w:rPr>
              <w:sz w:val="36"/>
              <w:szCs w:val="36"/>
            </w:rPr>
            <w:fldChar w:fldCharType="begin"/>
          </w:r>
          <w:r>
            <w:rPr>
              <w:sz w:val="36"/>
              <w:szCs w:val="36"/>
            </w:rPr>
            <w:instrText xml:space="preserve"> PAGEREF _Toc31320 \h </w:instrText>
          </w:r>
          <w:r>
            <w:rPr>
              <w:sz w:val="36"/>
              <w:szCs w:val="36"/>
            </w:rPr>
            <w:fldChar w:fldCharType="separate"/>
          </w:r>
          <w:r>
            <w:rPr>
              <w:sz w:val="36"/>
              <w:szCs w:val="36"/>
            </w:rPr>
            <w:t>6</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_Toc24183 </w:instrText>
          </w:r>
          <w:r>
            <w:rPr>
              <w:rFonts w:hint="eastAsia"/>
              <w:sz w:val="36"/>
              <w:szCs w:val="36"/>
            </w:rPr>
            <w:fldChar w:fldCharType="separate"/>
          </w:r>
          <w:r>
            <w:rPr>
              <w:rFonts w:hint="default"/>
              <w:sz w:val="36"/>
              <w:szCs w:val="36"/>
              <w:lang w:val="en-US" w:eastAsia="zh-CN"/>
            </w:rPr>
            <w:t xml:space="preserve">3.2 </w:t>
          </w:r>
          <w:r>
            <w:rPr>
              <w:rFonts w:hint="eastAsia"/>
              <w:sz w:val="36"/>
              <w:szCs w:val="36"/>
              <w:lang w:val="en-US" w:eastAsia="zh-CN"/>
            </w:rPr>
            <w:t>盐都区博物馆</w:t>
          </w:r>
          <w:r>
            <w:rPr>
              <w:rFonts w:hint="default"/>
              <w:sz w:val="36"/>
              <w:szCs w:val="36"/>
              <w:lang w:val="en-US" w:eastAsia="zh-CN"/>
            </w:rPr>
            <w:t>观众的参观目的与场馆偏好</w:t>
          </w:r>
          <w:r>
            <w:rPr>
              <w:sz w:val="36"/>
              <w:szCs w:val="36"/>
            </w:rPr>
            <w:tab/>
          </w:r>
          <w:r>
            <w:rPr>
              <w:sz w:val="36"/>
              <w:szCs w:val="36"/>
            </w:rPr>
            <w:fldChar w:fldCharType="begin"/>
          </w:r>
          <w:r>
            <w:rPr>
              <w:sz w:val="36"/>
              <w:szCs w:val="36"/>
            </w:rPr>
            <w:instrText xml:space="preserve"> PAGEREF _Toc24183 \h </w:instrText>
          </w:r>
          <w:r>
            <w:rPr>
              <w:sz w:val="36"/>
              <w:szCs w:val="36"/>
            </w:rPr>
            <w:fldChar w:fldCharType="separate"/>
          </w:r>
          <w:r>
            <w:rPr>
              <w:sz w:val="36"/>
              <w:szCs w:val="36"/>
            </w:rPr>
            <w:t>7</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_Toc2795 </w:instrText>
          </w:r>
          <w:r>
            <w:rPr>
              <w:rFonts w:hint="eastAsia"/>
              <w:sz w:val="36"/>
              <w:szCs w:val="36"/>
            </w:rPr>
            <w:fldChar w:fldCharType="separate"/>
          </w:r>
          <w:r>
            <w:rPr>
              <w:rFonts w:hint="eastAsia"/>
              <w:sz w:val="36"/>
              <w:szCs w:val="36"/>
              <w:lang w:val="en-US" w:eastAsia="zh-CN"/>
            </w:rPr>
            <w:t>3.3 盐都区博物馆观众的服务使用与满意度</w:t>
          </w:r>
          <w:r>
            <w:rPr>
              <w:sz w:val="36"/>
              <w:szCs w:val="36"/>
            </w:rPr>
            <w:tab/>
          </w:r>
          <w:r>
            <w:rPr>
              <w:sz w:val="36"/>
              <w:szCs w:val="36"/>
            </w:rPr>
            <w:fldChar w:fldCharType="begin"/>
          </w:r>
          <w:r>
            <w:rPr>
              <w:sz w:val="36"/>
              <w:szCs w:val="36"/>
            </w:rPr>
            <w:instrText xml:space="preserve"> PAGEREF _Toc2795 \h </w:instrText>
          </w:r>
          <w:r>
            <w:rPr>
              <w:sz w:val="36"/>
              <w:szCs w:val="36"/>
            </w:rPr>
            <w:fldChar w:fldCharType="separate"/>
          </w:r>
          <w:r>
            <w:rPr>
              <w:sz w:val="36"/>
              <w:szCs w:val="36"/>
            </w:rPr>
            <w:t>8</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_Toc9804 </w:instrText>
          </w:r>
          <w:r>
            <w:rPr>
              <w:rFonts w:hint="eastAsia"/>
              <w:sz w:val="36"/>
              <w:szCs w:val="36"/>
            </w:rPr>
            <w:fldChar w:fldCharType="separate"/>
          </w:r>
          <w:r>
            <w:rPr>
              <w:rFonts w:hint="eastAsia"/>
              <w:sz w:val="36"/>
              <w:szCs w:val="36"/>
              <w:lang w:val="en-US" w:eastAsia="zh-CN"/>
            </w:rPr>
            <w:t>3.4 盐都区博物馆观众的整体满意度</w:t>
          </w:r>
          <w:r>
            <w:rPr>
              <w:sz w:val="36"/>
              <w:szCs w:val="36"/>
            </w:rPr>
            <w:tab/>
          </w:r>
          <w:r>
            <w:rPr>
              <w:sz w:val="36"/>
              <w:szCs w:val="36"/>
            </w:rPr>
            <w:fldChar w:fldCharType="begin"/>
          </w:r>
          <w:r>
            <w:rPr>
              <w:sz w:val="36"/>
              <w:szCs w:val="36"/>
            </w:rPr>
            <w:instrText xml:space="preserve"> PAGEREF _Toc9804 \h </w:instrText>
          </w:r>
          <w:r>
            <w:rPr>
              <w:sz w:val="36"/>
              <w:szCs w:val="36"/>
            </w:rPr>
            <w:fldChar w:fldCharType="separate"/>
          </w:r>
          <w:r>
            <w:rPr>
              <w:sz w:val="36"/>
              <w:szCs w:val="36"/>
            </w:rPr>
            <w:t>10</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_Toc12386 </w:instrText>
          </w:r>
          <w:r>
            <w:rPr>
              <w:rFonts w:hint="eastAsia"/>
              <w:sz w:val="36"/>
              <w:szCs w:val="36"/>
            </w:rPr>
            <w:fldChar w:fldCharType="separate"/>
          </w:r>
          <w:r>
            <w:rPr>
              <w:rFonts w:hint="eastAsia"/>
              <w:sz w:val="36"/>
              <w:szCs w:val="36"/>
              <w:lang w:val="en-US" w:eastAsia="zh-CN"/>
            </w:rPr>
            <w:t>3.5 盐都区博物馆的吸引力</w:t>
          </w:r>
          <w:r>
            <w:rPr>
              <w:sz w:val="36"/>
              <w:szCs w:val="36"/>
            </w:rPr>
            <w:tab/>
          </w:r>
          <w:r>
            <w:rPr>
              <w:sz w:val="36"/>
              <w:szCs w:val="36"/>
            </w:rPr>
            <w:fldChar w:fldCharType="begin"/>
          </w:r>
          <w:r>
            <w:rPr>
              <w:sz w:val="36"/>
              <w:szCs w:val="36"/>
            </w:rPr>
            <w:instrText xml:space="preserve"> PAGEREF _Toc12386 \h </w:instrText>
          </w:r>
          <w:r>
            <w:rPr>
              <w:sz w:val="36"/>
              <w:szCs w:val="36"/>
            </w:rPr>
            <w:fldChar w:fldCharType="separate"/>
          </w:r>
          <w:r>
            <w:rPr>
              <w:sz w:val="36"/>
              <w:szCs w:val="36"/>
            </w:rPr>
            <w:t>11</w:t>
          </w:r>
          <w:r>
            <w:rPr>
              <w:sz w:val="36"/>
              <w:szCs w:val="36"/>
            </w:rPr>
            <w:fldChar w:fldCharType="end"/>
          </w:r>
          <w:r>
            <w:rPr>
              <w:rFonts w:hint="eastAsia"/>
              <w:sz w:val="36"/>
              <w:szCs w:val="36"/>
            </w:rPr>
            <w:fldChar w:fldCharType="end"/>
          </w:r>
        </w:p>
        <w:p>
          <w:pPr>
            <w:pStyle w:val="4"/>
            <w:tabs>
              <w:tab w:val="right" w:leader="dot" w:pos="8306"/>
            </w:tabs>
            <w:rPr>
              <w:sz w:val="36"/>
              <w:szCs w:val="36"/>
            </w:rPr>
          </w:pPr>
          <w:r>
            <w:rPr>
              <w:rFonts w:hint="eastAsia"/>
              <w:sz w:val="36"/>
              <w:szCs w:val="36"/>
            </w:rPr>
            <w:fldChar w:fldCharType="begin"/>
          </w:r>
          <w:r>
            <w:rPr>
              <w:rFonts w:hint="eastAsia"/>
              <w:sz w:val="36"/>
              <w:szCs w:val="36"/>
            </w:rPr>
            <w:instrText xml:space="preserve"> HYPERLINK \l _Toc547 </w:instrText>
          </w:r>
          <w:r>
            <w:rPr>
              <w:rFonts w:hint="eastAsia"/>
              <w:sz w:val="36"/>
              <w:szCs w:val="36"/>
            </w:rPr>
            <w:fldChar w:fldCharType="separate"/>
          </w:r>
          <w:r>
            <w:rPr>
              <w:rFonts w:hint="eastAsia"/>
              <w:sz w:val="36"/>
              <w:szCs w:val="36"/>
              <w:lang w:val="en-US" w:eastAsia="zh-CN"/>
            </w:rPr>
            <w:t>4.4盐都区博物馆发展建议</w:t>
          </w:r>
          <w:r>
            <w:rPr>
              <w:sz w:val="36"/>
              <w:szCs w:val="36"/>
            </w:rPr>
            <w:tab/>
          </w:r>
          <w:r>
            <w:rPr>
              <w:sz w:val="36"/>
              <w:szCs w:val="36"/>
            </w:rPr>
            <w:fldChar w:fldCharType="begin"/>
          </w:r>
          <w:r>
            <w:rPr>
              <w:sz w:val="36"/>
              <w:szCs w:val="36"/>
            </w:rPr>
            <w:instrText xml:space="preserve"> PAGEREF _Toc547 \h </w:instrText>
          </w:r>
          <w:r>
            <w:rPr>
              <w:sz w:val="36"/>
              <w:szCs w:val="36"/>
            </w:rPr>
            <w:fldChar w:fldCharType="separate"/>
          </w:r>
          <w:r>
            <w:rPr>
              <w:sz w:val="36"/>
              <w:szCs w:val="36"/>
            </w:rPr>
            <w:t>14</w:t>
          </w:r>
          <w:r>
            <w:rPr>
              <w:sz w:val="36"/>
              <w:szCs w:val="36"/>
            </w:rPr>
            <w:fldChar w:fldCharType="end"/>
          </w:r>
          <w:r>
            <w:rPr>
              <w:rFonts w:hint="eastAsia"/>
              <w:sz w:val="36"/>
              <w:szCs w:val="36"/>
            </w:rPr>
            <w:fldChar w:fldCharType="end"/>
          </w:r>
        </w:p>
        <w:p>
          <w:pPr>
            <w:pStyle w:val="5"/>
            <w:tabs>
              <w:tab w:val="right" w:leader="dot" w:pos="8306"/>
            </w:tabs>
            <w:rPr>
              <w:sz w:val="36"/>
              <w:szCs w:val="36"/>
            </w:rPr>
          </w:pPr>
          <w:r>
            <w:rPr>
              <w:rFonts w:hint="eastAsia"/>
              <w:sz w:val="36"/>
              <w:szCs w:val="36"/>
            </w:rPr>
            <w:fldChar w:fldCharType="begin"/>
          </w:r>
          <w:r>
            <w:rPr>
              <w:rFonts w:hint="eastAsia"/>
              <w:sz w:val="36"/>
              <w:szCs w:val="36"/>
            </w:rPr>
            <w:instrText xml:space="preserve"> HYPERLINK \l _Toc28357 </w:instrText>
          </w:r>
          <w:r>
            <w:rPr>
              <w:rFonts w:hint="eastAsia"/>
              <w:sz w:val="36"/>
              <w:szCs w:val="36"/>
            </w:rPr>
            <w:fldChar w:fldCharType="separate"/>
          </w:r>
          <w:r>
            <w:rPr>
              <w:rFonts w:hint="eastAsia"/>
              <w:sz w:val="36"/>
              <w:szCs w:val="36"/>
              <w:lang w:val="en-US" w:eastAsia="zh-CN"/>
            </w:rPr>
            <w:t>4.1 调查小结</w:t>
          </w:r>
          <w:r>
            <w:rPr>
              <w:sz w:val="36"/>
              <w:szCs w:val="36"/>
            </w:rPr>
            <w:tab/>
          </w:r>
          <w:r>
            <w:rPr>
              <w:sz w:val="36"/>
              <w:szCs w:val="36"/>
            </w:rPr>
            <w:fldChar w:fldCharType="begin"/>
          </w:r>
          <w:r>
            <w:rPr>
              <w:sz w:val="36"/>
              <w:szCs w:val="36"/>
            </w:rPr>
            <w:instrText xml:space="preserve"> PAGEREF _Toc28357 \h </w:instrText>
          </w:r>
          <w:r>
            <w:rPr>
              <w:sz w:val="36"/>
              <w:szCs w:val="36"/>
            </w:rPr>
            <w:fldChar w:fldCharType="separate"/>
          </w:r>
          <w:r>
            <w:rPr>
              <w:sz w:val="36"/>
              <w:szCs w:val="36"/>
            </w:rPr>
            <w:t>14</w:t>
          </w:r>
          <w:r>
            <w:rPr>
              <w:sz w:val="36"/>
              <w:szCs w:val="36"/>
            </w:rPr>
            <w:fldChar w:fldCharType="end"/>
          </w:r>
          <w:r>
            <w:rPr>
              <w:rFonts w:hint="eastAsia"/>
              <w:sz w:val="36"/>
              <w:szCs w:val="36"/>
            </w:rPr>
            <w:fldChar w:fldCharType="end"/>
          </w:r>
        </w:p>
        <w:p>
          <w:pPr>
            <w:pStyle w:val="5"/>
            <w:tabs>
              <w:tab w:val="right" w:leader="dot" w:pos="8306"/>
            </w:tabs>
          </w:pPr>
          <w:r>
            <w:rPr>
              <w:rFonts w:hint="eastAsia"/>
              <w:sz w:val="36"/>
              <w:szCs w:val="36"/>
            </w:rPr>
            <w:fldChar w:fldCharType="begin"/>
          </w:r>
          <w:r>
            <w:rPr>
              <w:rFonts w:hint="eastAsia"/>
              <w:sz w:val="36"/>
              <w:szCs w:val="36"/>
            </w:rPr>
            <w:instrText xml:space="preserve"> HYPERLINK \l _Toc11615 </w:instrText>
          </w:r>
          <w:r>
            <w:rPr>
              <w:rFonts w:hint="eastAsia"/>
              <w:sz w:val="36"/>
              <w:szCs w:val="36"/>
            </w:rPr>
            <w:fldChar w:fldCharType="separate"/>
          </w:r>
          <w:r>
            <w:rPr>
              <w:rFonts w:hint="eastAsia"/>
              <w:sz w:val="36"/>
              <w:szCs w:val="36"/>
              <w:lang w:val="en-US" w:eastAsia="zh-CN"/>
            </w:rPr>
            <w:t>4.2 未来发展建议</w:t>
          </w:r>
          <w:r>
            <w:rPr>
              <w:sz w:val="36"/>
              <w:szCs w:val="36"/>
            </w:rPr>
            <w:tab/>
          </w:r>
          <w:r>
            <w:rPr>
              <w:sz w:val="36"/>
              <w:szCs w:val="36"/>
            </w:rPr>
            <w:fldChar w:fldCharType="begin"/>
          </w:r>
          <w:r>
            <w:rPr>
              <w:sz w:val="36"/>
              <w:szCs w:val="36"/>
            </w:rPr>
            <w:instrText xml:space="preserve"> PAGEREF _Toc11615 \h </w:instrText>
          </w:r>
          <w:r>
            <w:rPr>
              <w:sz w:val="36"/>
              <w:szCs w:val="36"/>
            </w:rPr>
            <w:fldChar w:fldCharType="separate"/>
          </w:r>
          <w:r>
            <w:rPr>
              <w:sz w:val="36"/>
              <w:szCs w:val="36"/>
            </w:rPr>
            <w:t>15</w:t>
          </w:r>
          <w:r>
            <w:rPr>
              <w:sz w:val="36"/>
              <w:szCs w:val="36"/>
            </w:rPr>
            <w:fldChar w:fldCharType="end"/>
          </w:r>
          <w:r>
            <w:rPr>
              <w:rFonts w:hint="eastAsia"/>
              <w:sz w:val="36"/>
              <w:szCs w:val="36"/>
            </w:rPr>
            <w:fldChar w:fldCharType="end"/>
          </w:r>
        </w:p>
        <w:p>
          <w:pPr>
            <w:rPr>
              <w:rFonts w:hint="eastAsia"/>
            </w:rPr>
            <w:sectPr>
              <w:pgSz w:w="11906" w:h="16838"/>
              <w:pgMar w:top="1440" w:right="1800" w:bottom="1440" w:left="1800" w:header="851" w:footer="992" w:gutter="0"/>
              <w:cols w:space="425" w:num="1"/>
              <w:docGrid w:type="lines" w:linePitch="312" w:charSpace="0"/>
            </w:sectPr>
          </w:pPr>
          <w:r>
            <w:rPr>
              <w:rFonts w:hint="eastAsia"/>
            </w:rPr>
            <w:fldChar w:fldCharType="end"/>
          </w:r>
        </w:p>
      </w:sdtContent>
    </w:sdt>
    <w:p>
      <w:pPr>
        <w:pStyle w:val="2"/>
        <w:bidi w:val="0"/>
        <w:rPr>
          <w:rFonts w:hint="eastAsia"/>
        </w:rPr>
      </w:pPr>
      <w:bookmarkStart w:id="0" w:name="_Toc18291"/>
      <w:r>
        <w:rPr>
          <w:rFonts w:hint="eastAsia"/>
          <w:lang w:val="en-US" w:eastAsia="zh-CN"/>
        </w:rPr>
        <w:t>1.</w:t>
      </w:r>
      <w:r>
        <w:rPr>
          <w:rFonts w:hint="eastAsia"/>
        </w:rPr>
        <w:t>调查背景</w:t>
      </w:r>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我国博物馆自 2008 年免费开放以来，博物馆工作重心正在不断向服务公众方面转移，“以人为本”理念深入博物馆内部。观众调查是博物馆与观众交流的重要形式之一，它能给博物馆教育活动策划者提供引导判断和决定活动实施的各种信息，促进与观众的关系，还使博物馆工作人员直观的接收到观众的信息反馈，所以进行博物馆观众调查意义重大。</w:t>
      </w:r>
    </w:p>
    <w:p>
      <w:pPr>
        <w:rPr>
          <w:rFonts w:hint="eastAsia" w:ascii="仿宋" w:hAnsi="仿宋" w:eastAsia="仿宋" w:cs="仿宋"/>
          <w:sz w:val="28"/>
          <w:szCs w:val="28"/>
        </w:rPr>
      </w:pPr>
      <w:r>
        <w:rPr>
          <w:rFonts w:hint="eastAsia" w:ascii="仿宋" w:hAnsi="仿宋" w:eastAsia="仿宋" w:cs="仿宋"/>
          <w:sz w:val="28"/>
          <w:szCs w:val="28"/>
          <w:lang w:val="en-US" w:eastAsia="zh-CN"/>
        </w:rPr>
        <w:t>自2020年疫情以来，参观人数急剧减少，统计数据也不全面，</w:t>
      </w:r>
      <w:r>
        <w:rPr>
          <w:rFonts w:hint="eastAsia" w:ascii="仿宋" w:hAnsi="仿宋" w:eastAsia="仿宋" w:cs="仿宋"/>
          <w:sz w:val="28"/>
          <w:szCs w:val="28"/>
        </w:rPr>
        <w:t>为</w:t>
      </w:r>
      <w:r>
        <w:rPr>
          <w:rFonts w:hint="eastAsia" w:ascii="仿宋" w:hAnsi="仿宋" w:eastAsia="仿宋" w:cs="仿宋"/>
          <w:sz w:val="28"/>
          <w:szCs w:val="28"/>
          <w:lang w:val="en-US" w:eastAsia="zh-CN"/>
        </w:rPr>
        <w:t>了更加</w:t>
      </w:r>
      <w:r>
        <w:rPr>
          <w:rFonts w:hint="eastAsia" w:ascii="仿宋" w:hAnsi="仿宋" w:eastAsia="仿宋" w:cs="仿宋"/>
          <w:sz w:val="28"/>
          <w:szCs w:val="28"/>
        </w:rPr>
        <w:t>全面了解观众对于展览的满意度，从</w:t>
      </w:r>
      <w:r>
        <w:rPr>
          <w:rFonts w:hint="eastAsia" w:ascii="仿宋" w:hAnsi="仿宋" w:eastAsia="仿宋" w:cs="仿宋"/>
          <w:sz w:val="28"/>
          <w:szCs w:val="28"/>
          <w:lang w:val="en-US" w:eastAsia="zh-CN"/>
        </w:rPr>
        <w:t>2023年</w:t>
      </w:r>
      <w:r>
        <w:rPr>
          <w:rFonts w:hint="eastAsia" w:ascii="仿宋" w:hAnsi="仿宋" w:eastAsia="仿宋" w:cs="仿宋"/>
          <w:sz w:val="28"/>
          <w:szCs w:val="28"/>
        </w:rPr>
        <w:t>伊始，</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就组织了观众调查。</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pStyle w:val="2"/>
        <w:bidi w:val="0"/>
        <w:rPr>
          <w:rFonts w:hint="eastAsia"/>
        </w:rPr>
        <w:sectPr>
          <w:pgSz w:w="11906" w:h="16838"/>
          <w:pgMar w:top="1440" w:right="1800" w:bottom="1440" w:left="1800" w:header="851" w:footer="992" w:gutter="0"/>
          <w:cols w:space="425" w:num="1"/>
          <w:docGrid w:type="lines" w:linePitch="312" w:charSpace="0"/>
        </w:sectPr>
      </w:pPr>
    </w:p>
    <w:p>
      <w:pPr>
        <w:pStyle w:val="2"/>
        <w:bidi w:val="0"/>
        <w:rPr>
          <w:rFonts w:hint="eastAsia"/>
        </w:rPr>
      </w:pPr>
      <w:bookmarkStart w:id="1" w:name="_Toc17661"/>
      <w:r>
        <w:rPr>
          <w:rFonts w:hint="eastAsia"/>
        </w:rPr>
        <w:t>2.实施方法</w:t>
      </w:r>
      <w:bookmarkEnd w:id="1"/>
    </w:p>
    <w:p>
      <w:pPr>
        <w:pStyle w:val="3"/>
        <w:bidi w:val="0"/>
        <w:rPr>
          <w:rFonts w:hint="eastAsia"/>
        </w:rPr>
      </w:pPr>
      <w:bookmarkStart w:id="2" w:name="_Toc21920"/>
      <w:r>
        <w:rPr>
          <w:rFonts w:hint="eastAsia"/>
        </w:rPr>
        <w:t>2.1 概念界定</w:t>
      </w:r>
      <w:bookmarkEnd w:id="2"/>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本报告的核心概念主要有：观众、满意度、吸引力。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博物馆的观众是一个意义相当模糊的概念，就现有文献而言，观众有广义和狭义两种含义。广义的博物馆观众将所有过去参观过的、现在正在参观的和将来可能参观的公众都作为自己的观众，尤其是将来可能参观的“潜在”观众，极大地拓展了对博物馆观众的视野。然而这一广义取向在现实中的操作较弱。相对而言，狭义的博物馆观众操作性较强，其被定义为在一次实际的参观中，对博物馆有直接体验的人。</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满意度也是相当复杂的概念，回顾现有文献可知，研究者往往认为满意度可以被区分为不同的层次和维度，目前被关注最多的是“主观满意度”，即考量的是观众对于实际参观的主观感受，这一指标的主观性导致其缺乏明确的界定。本报告将根据研究的目的，分多个层次来考察满意状况，在本报告中，我们既将呈现出观众的客观参观经历，也将描述观众的主观满意状况，也会涉及到相对满意度、对特殊展品或展馆的满意度，以及是否会推荐</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等不同的维度。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吸引力也是近几年博物馆界的关注热点。一般说来，博物馆的吸引力来自两个方面：博物馆吸引</w:t>
      </w:r>
      <w:r>
        <w:rPr>
          <w:rFonts w:hint="eastAsia" w:ascii="仿宋" w:hAnsi="仿宋" w:eastAsia="仿宋" w:cs="仿宋"/>
          <w:sz w:val="28"/>
          <w:szCs w:val="28"/>
          <w:lang w:val="en-US" w:eastAsia="zh-CN"/>
        </w:rPr>
        <w:t>力</w:t>
      </w:r>
      <w:r>
        <w:rPr>
          <w:rFonts w:hint="eastAsia" w:ascii="仿宋" w:hAnsi="仿宋" w:eastAsia="仿宋" w:cs="仿宋"/>
          <w:sz w:val="28"/>
          <w:szCs w:val="28"/>
        </w:rPr>
        <w:t>和博物馆营销。博物馆吸引物使博物馆具备了潜在的吸引力，博物馆营销则使得博物馆的吸引</w:t>
      </w:r>
      <w:r>
        <w:rPr>
          <w:rFonts w:hint="eastAsia" w:ascii="仿宋" w:hAnsi="仿宋" w:eastAsia="仿宋" w:cs="仿宋"/>
          <w:sz w:val="28"/>
          <w:szCs w:val="28"/>
          <w:lang w:val="en-US" w:eastAsia="zh-CN"/>
        </w:rPr>
        <w:t>力</w:t>
      </w:r>
      <w:r>
        <w:rPr>
          <w:rFonts w:hint="eastAsia" w:ascii="仿宋" w:hAnsi="仿宋" w:eastAsia="仿宋" w:cs="仿宋"/>
          <w:sz w:val="28"/>
          <w:szCs w:val="28"/>
        </w:rPr>
        <w:t>被市场</w:t>
      </w:r>
      <w:r>
        <w:rPr>
          <w:rFonts w:hint="eastAsia" w:ascii="仿宋" w:hAnsi="仿宋" w:eastAsia="仿宋" w:cs="仿宋"/>
          <w:sz w:val="28"/>
          <w:szCs w:val="28"/>
          <w:lang w:eastAsia="zh-CN"/>
        </w:rPr>
        <w:t>、</w:t>
      </w:r>
      <w:r>
        <w:rPr>
          <w:rFonts w:hint="eastAsia" w:ascii="仿宋" w:hAnsi="仿宋" w:eastAsia="仿宋" w:cs="仿宋"/>
          <w:sz w:val="28"/>
          <w:szCs w:val="28"/>
        </w:rPr>
        <w:t>被人们所关注。</w:t>
      </w:r>
    </w:p>
    <w:p>
      <w:pPr>
        <w:pStyle w:val="3"/>
        <w:bidi w:val="0"/>
        <w:rPr>
          <w:rFonts w:hint="eastAsia"/>
          <w:b/>
        </w:rPr>
      </w:pPr>
      <w:bookmarkStart w:id="3" w:name="_Toc21474"/>
      <w:r>
        <w:rPr>
          <w:rFonts w:hint="eastAsia"/>
          <w:b/>
        </w:rPr>
        <w:t>2.2 调查方法</w:t>
      </w:r>
      <w:bookmarkEnd w:id="3"/>
    </w:p>
    <w:p>
      <w:pPr>
        <w:ind w:firstLine="560" w:firstLineChars="200"/>
        <w:rPr>
          <w:rFonts w:hint="eastAsia" w:ascii="仿宋" w:hAnsi="仿宋" w:eastAsia="仿宋" w:cs="仿宋"/>
          <w:sz w:val="28"/>
          <w:szCs w:val="28"/>
        </w:rPr>
      </w:pPr>
      <w:r>
        <w:rPr>
          <w:rFonts w:hint="eastAsia" w:ascii="仿宋" w:hAnsi="仿宋" w:eastAsia="仿宋" w:cs="仿宋"/>
          <w:sz w:val="28"/>
          <w:szCs w:val="28"/>
        </w:rPr>
        <w:t>本研究设计了详尽的《</w:t>
      </w:r>
      <w:r>
        <w:rPr>
          <w:rFonts w:hint="eastAsia" w:ascii="仿宋" w:hAnsi="仿宋" w:eastAsia="仿宋" w:cs="仿宋"/>
          <w:sz w:val="28"/>
          <w:szCs w:val="28"/>
          <w:lang w:eastAsia="zh-CN"/>
        </w:rPr>
        <w:t>盐都区博物馆</w:t>
      </w:r>
      <w:r>
        <w:rPr>
          <w:rFonts w:hint="eastAsia" w:ascii="仿宋" w:hAnsi="仿宋" w:eastAsia="仿宋" w:cs="仿宋"/>
          <w:sz w:val="28"/>
          <w:szCs w:val="28"/>
        </w:rPr>
        <w:t>观众调查问卷》，采用结构式的方法对在馆内参观观众的基本概况、参观经历、参观满意度、综合满意度、展览推荐等状况进行了系统的调查。考虑到</w:t>
      </w:r>
      <w:r>
        <w:rPr>
          <w:rFonts w:hint="eastAsia" w:ascii="仿宋" w:hAnsi="仿宋" w:eastAsia="仿宋" w:cs="仿宋"/>
          <w:sz w:val="28"/>
          <w:szCs w:val="28"/>
          <w:lang w:eastAsia="zh-CN"/>
        </w:rPr>
        <w:t>盐都区博物馆</w:t>
      </w:r>
      <w:r>
        <w:rPr>
          <w:rFonts w:hint="eastAsia" w:ascii="仿宋" w:hAnsi="仿宋" w:eastAsia="仿宋" w:cs="仿宋"/>
          <w:sz w:val="28"/>
          <w:szCs w:val="28"/>
        </w:rPr>
        <w:t>展厅的分散以及观众分散而流动性强，实际总体难以确定，本研究采用了配额抽样的方式获取样本，以期在调查的可行性和样本代表性之间取得平衡，有可能对</w:t>
      </w:r>
      <w:r>
        <w:rPr>
          <w:rFonts w:hint="eastAsia" w:ascii="仿宋" w:hAnsi="仿宋" w:eastAsia="仿宋" w:cs="仿宋"/>
          <w:sz w:val="28"/>
          <w:szCs w:val="28"/>
          <w:lang w:eastAsia="zh-CN"/>
        </w:rPr>
        <w:t>盐都区博物馆</w:t>
      </w:r>
      <w:r>
        <w:rPr>
          <w:rFonts w:hint="eastAsia" w:ascii="仿宋" w:hAnsi="仿宋" w:eastAsia="仿宋" w:cs="仿宋"/>
          <w:sz w:val="28"/>
          <w:szCs w:val="28"/>
        </w:rPr>
        <w:t>观众的实际服务满意度、总体满意度等加以较准确的把握。具体的抽样按照以下步骤展开：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1．按照实际参观人数的多少区分工作日和双休日，在工作日和双休日分别抽取参观者。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2．主要抽样地点在基本陈列展厅，一些在临时展厅。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3．具体被调查观众的抽取由受过</w:t>
      </w:r>
      <w:r>
        <w:rPr>
          <w:rFonts w:hint="eastAsia" w:ascii="仿宋" w:hAnsi="仿宋" w:eastAsia="仿宋" w:cs="仿宋"/>
          <w:sz w:val="28"/>
          <w:szCs w:val="28"/>
          <w:lang w:val="en-US" w:eastAsia="zh-CN"/>
        </w:rPr>
        <w:t>调查</w:t>
      </w:r>
      <w:r>
        <w:rPr>
          <w:rFonts w:hint="eastAsia" w:ascii="仿宋" w:hAnsi="仿宋" w:eastAsia="仿宋" w:cs="仿宋"/>
          <w:sz w:val="28"/>
          <w:szCs w:val="28"/>
        </w:rPr>
        <w:t>培训的</w:t>
      </w:r>
      <w:r>
        <w:rPr>
          <w:rFonts w:hint="eastAsia" w:ascii="仿宋" w:hAnsi="仿宋" w:eastAsia="仿宋" w:cs="仿宋"/>
          <w:sz w:val="28"/>
          <w:szCs w:val="28"/>
          <w:lang w:val="en-US" w:eastAsia="zh-CN"/>
        </w:rPr>
        <w:t>馆内人员</w:t>
      </w:r>
      <w:r>
        <w:rPr>
          <w:rFonts w:hint="eastAsia" w:ascii="仿宋" w:hAnsi="仿宋" w:eastAsia="仿宋" w:cs="仿宋"/>
          <w:sz w:val="28"/>
          <w:szCs w:val="28"/>
        </w:rPr>
        <w:t>完成，他们被要求以方便抽样法选取已经在</w:t>
      </w:r>
      <w:r>
        <w:rPr>
          <w:rFonts w:hint="eastAsia" w:ascii="仿宋" w:hAnsi="仿宋" w:eastAsia="仿宋" w:cs="仿宋"/>
          <w:sz w:val="28"/>
          <w:szCs w:val="28"/>
          <w:lang w:eastAsia="zh-CN"/>
        </w:rPr>
        <w:t>盐都区博物馆</w:t>
      </w:r>
      <w:r>
        <w:rPr>
          <w:rFonts w:hint="eastAsia" w:ascii="仿宋" w:hAnsi="仿宋" w:eastAsia="仿宋" w:cs="仿宋"/>
          <w:sz w:val="28"/>
          <w:szCs w:val="28"/>
        </w:rPr>
        <w:t>有一定时长且仍在参观的观众进行问卷填答，实际抽样过程中注意年龄（兼顾青少年、中老年人）和性别（男女相等）的平衡。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实际的问卷填答以观众自填为主，对缺乏填写能力的老年人则由调查</w:t>
      </w:r>
      <w:r>
        <w:rPr>
          <w:rFonts w:hint="eastAsia" w:ascii="仿宋" w:hAnsi="仿宋" w:eastAsia="仿宋" w:cs="仿宋"/>
          <w:sz w:val="28"/>
          <w:szCs w:val="28"/>
          <w:lang w:val="en-US" w:eastAsia="zh-CN"/>
        </w:rPr>
        <w:t>人</w:t>
      </w:r>
      <w:r>
        <w:rPr>
          <w:rFonts w:hint="eastAsia" w:ascii="仿宋" w:hAnsi="仿宋" w:eastAsia="仿宋" w:cs="仿宋"/>
          <w:sz w:val="28"/>
          <w:szCs w:val="28"/>
        </w:rPr>
        <w:t>员进行结构式访问。问卷当场填答（访问）、当场检查、回收。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调查计划发放问卷</w:t>
      </w:r>
      <w:r>
        <w:rPr>
          <w:rFonts w:hint="eastAsia" w:ascii="仿宋" w:hAnsi="仿宋" w:eastAsia="仿宋" w:cs="仿宋"/>
          <w:sz w:val="28"/>
          <w:szCs w:val="28"/>
          <w:lang w:val="en-US" w:eastAsia="zh-CN"/>
        </w:rPr>
        <w:t>800</w:t>
      </w:r>
      <w:r>
        <w:rPr>
          <w:rFonts w:hint="eastAsia" w:ascii="仿宋" w:hAnsi="仿宋" w:eastAsia="仿宋" w:cs="仿宋"/>
          <w:sz w:val="28"/>
          <w:szCs w:val="28"/>
        </w:rPr>
        <w:t>份，剔除未完成回收、填答不完整的、有逻辑不一致问题的问卷</w:t>
      </w:r>
      <w:r>
        <w:rPr>
          <w:rFonts w:hint="eastAsia" w:ascii="仿宋" w:hAnsi="仿宋" w:eastAsia="仿宋" w:cs="仿宋"/>
          <w:sz w:val="28"/>
          <w:szCs w:val="28"/>
          <w:lang w:val="en-US" w:eastAsia="zh-CN"/>
        </w:rPr>
        <w:t>85</w:t>
      </w:r>
      <w:r>
        <w:rPr>
          <w:rFonts w:hint="eastAsia" w:ascii="仿宋" w:hAnsi="仿宋" w:eastAsia="仿宋" w:cs="仿宋"/>
          <w:sz w:val="28"/>
          <w:szCs w:val="28"/>
        </w:rPr>
        <w:t xml:space="preserve"> 份，共计收回份 </w:t>
      </w:r>
      <w:r>
        <w:rPr>
          <w:rFonts w:hint="eastAsia" w:ascii="仿宋" w:hAnsi="仿宋" w:eastAsia="仿宋" w:cs="仿宋"/>
          <w:sz w:val="28"/>
          <w:szCs w:val="28"/>
          <w:lang w:val="en-US" w:eastAsia="zh-CN"/>
        </w:rPr>
        <w:t>715</w:t>
      </w:r>
      <w:r>
        <w:rPr>
          <w:rFonts w:hint="eastAsia" w:ascii="仿宋" w:hAnsi="仿宋" w:eastAsia="仿宋" w:cs="仿宋"/>
          <w:sz w:val="28"/>
          <w:szCs w:val="28"/>
        </w:rPr>
        <w:t>份有效问卷，有效回收率为 8</w:t>
      </w:r>
      <w:r>
        <w:rPr>
          <w:rFonts w:hint="eastAsia" w:ascii="仿宋" w:hAnsi="仿宋" w:eastAsia="仿宋" w:cs="仿宋"/>
          <w:sz w:val="28"/>
          <w:szCs w:val="28"/>
          <w:lang w:val="en-US" w:eastAsia="zh-CN"/>
        </w:rPr>
        <w:t>9.4</w:t>
      </w:r>
      <w:r>
        <w:rPr>
          <w:rFonts w:hint="eastAsia" w:ascii="仿宋" w:hAnsi="仿宋" w:eastAsia="仿宋" w:cs="仿宋"/>
          <w:sz w:val="28"/>
          <w:szCs w:val="28"/>
        </w:rPr>
        <w:t>%，所收集回的数据将进行统计分析。进行问卷结果分析的目的，是为了了解观众的自然特征：如性别、年龄、居住地、教育程度是否会影响观众的参观行为等特征。</w:t>
      </w:r>
    </w:p>
    <w:p>
      <w:pPr>
        <w:pStyle w:val="2"/>
        <w:bidi w:val="0"/>
        <w:rPr>
          <w:rFonts w:hint="eastAsia"/>
        </w:rPr>
      </w:pPr>
      <w:bookmarkStart w:id="4" w:name="_Toc9424"/>
      <w:r>
        <w:rPr>
          <w:rFonts w:hint="eastAsia"/>
          <w:lang w:val="en-US" w:eastAsia="zh-CN"/>
        </w:rPr>
        <w:t>3.</w:t>
      </w:r>
      <w:r>
        <w:rPr>
          <w:rFonts w:hint="eastAsia"/>
        </w:rPr>
        <w:t>调查结果分析</w:t>
      </w:r>
      <w:bookmarkEnd w:id="4"/>
    </w:p>
    <w:p>
      <w:pPr>
        <w:pStyle w:val="3"/>
        <w:bidi w:val="0"/>
        <w:rPr>
          <w:rFonts w:hint="eastAsia"/>
        </w:rPr>
      </w:pPr>
      <w:bookmarkStart w:id="5" w:name="_Toc31320"/>
      <w:r>
        <w:rPr>
          <w:rFonts w:hint="eastAsia"/>
        </w:rPr>
        <w:t>3.1 观众描述</w:t>
      </w:r>
      <w:bookmarkEnd w:id="5"/>
    </w:p>
    <w:p>
      <w:pPr>
        <w:ind w:firstLine="560" w:firstLineChars="200"/>
        <w:rPr>
          <w:rFonts w:hint="eastAsia" w:ascii="仿宋" w:hAnsi="仿宋" w:eastAsia="仿宋" w:cs="仿宋"/>
          <w:sz w:val="28"/>
          <w:szCs w:val="28"/>
        </w:rPr>
      </w:pPr>
      <w:r>
        <w:rPr>
          <w:rFonts w:hint="eastAsia" w:ascii="仿宋" w:hAnsi="仿宋" w:eastAsia="仿宋" w:cs="仿宋"/>
          <w:sz w:val="28"/>
          <w:szCs w:val="28"/>
        </w:rPr>
        <w:t>本研究的样本的构成情况如表 3-1 所示。</w:t>
      </w:r>
    </w:p>
    <w:p>
      <w:pPr>
        <w:jc w:val="center"/>
        <w:rPr>
          <w:rFonts w:hint="eastAsia" w:ascii="Calibri" w:hAnsi="Calibri" w:eastAsia="宋体" w:cs="Calibri"/>
          <w:b/>
          <w:bCs/>
          <w:sz w:val="24"/>
          <w:szCs w:val="24"/>
          <w:lang w:val="en-US" w:eastAsia="zh-CN"/>
        </w:rPr>
      </w:pPr>
      <w:r>
        <w:rPr>
          <w:rFonts w:hint="eastAsia" w:ascii="Calibri" w:hAnsi="Calibri" w:eastAsia="宋体" w:cs="Calibri"/>
          <w:b/>
          <w:bCs/>
          <w:sz w:val="24"/>
          <w:szCs w:val="24"/>
        </w:rPr>
        <w:t>表3 -1 样本的基本构成情况（</w:t>
      </w:r>
      <w:r>
        <w:rPr>
          <w:rFonts w:hint="eastAsia" w:ascii="Calibri" w:hAnsi="Calibri" w:eastAsia="宋体" w:cs="Calibri"/>
          <w:b/>
          <w:bCs/>
          <w:sz w:val="24"/>
          <w:szCs w:val="24"/>
          <w:lang w:val="en-US" w:eastAsia="zh-CN"/>
        </w:rPr>
        <w:t>n=715）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335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6" w:type="dxa"/>
            <w:tcBorders>
              <w:top w:val="single" w:color="auto" w:sz="18" w:space="0"/>
              <w:left w:val="nil"/>
              <w:bottom w:val="single" w:color="auto" w:sz="2" w:space="0"/>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single" w:color="auto" w:sz="18" w:space="0"/>
              <w:left w:val="nil"/>
              <w:bottom w:val="single" w:color="auto" w:sz="2" w:space="0"/>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样本结构特征</w:t>
            </w:r>
          </w:p>
        </w:tc>
        <w:tc>
          <w:tcPr>
            <w:tcW w:w="2841" w:type="dxa"/>
            <w:tcBorders>
              <w:top w:val="single" w:color="auto" w:sz="18" w:space="0"/>
              <w:left w:val="nil"/>
              <w:bottom w:val="single" w:color="auto" w:sz="2" w:space="0"/>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tcBorders>
              <w:top w:val="single" w:color="auto" w:sz="2" w:space="0"/>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性别</w:t>
            </w:r>
          </w:p>
        </w:tc>
        <w:tc>
          <w:tcPr>
            <w:tcW w:w="3355" w:type="dxa"/>
            <w:tcBorders>
              <w:top w:val="single" w:color="auto" w:sz="2" w:space="0"/>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男</w:t>
            </w:r>
          </w:p>
        </w:tc>
        <w:tc>
          <w:tcPr>
            <w:tcW w:w="2841" w:type="dxa"/>
            <w:tcBorders>
              <w:top w:val="single" w:color="auto" w:sz="2" w:space="0"/>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tcBorders>
              <w:top w:val="nil"/>
              <w:left w:val="nil"/>
              <w:bottom w:val="nil"/>
              <w:right w:val="nil"/>
            </w:tcBorders>
            <w:vAlign w:val="center"/>
          </w:tcPr>
          <w:p>
            <w:pPr>
              <w:bidi w:val="0"/>
              <w:jc w:val="center"/>
              <w:rPr>
                <w:rFonts w:hint="eastAsia"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女</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restart"/>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年龄分组</w:t>
            </w: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18岁以下</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19-30岁</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31-60岁</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60岁以上</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restart"/>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目前居住地</w:t>
            </w: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本市</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本省（除盐城市）</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省外</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restart"/>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职业状况</w:t>
            </w: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企业</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学生</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军人</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事业单位与公务员</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离退休</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其他</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restart"/>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参观经历</w:t>
            </w: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曾参观过</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top w:val="nil"/>
              <w:left w:val="nil"/>
              <w:bottom w:val="nil"/>
              <w:right w:val="nil"/>
            </w:tcBorders>
            <w:vAlign w:val="center"/>
          </w:tcPr>
          <w:p>
            <w:pPr>
              <w:bidi w:val="0"/>
              <w:jc w:val="center"/>
              <w:rPr>
                <w:rFonts w:hint="eastAsia"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eastAsia"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没有参观过</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restart"/>
            <w:tcBorders>
              <w:top w:val="nil"/>
              <w:left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参观时长</w:t>
            </w: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30分钟以内</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left w:val="nil"/>
              <w:right w:val="nil"/>
            </w:tcBorders>
            <w:vAlign w:val="center"/>
          </w:tcPr>
          <w:p>
            <w:pPr>
              <w:bidi w:val="0"/>
              <w:jc w:val="center"/>
              <w:rPr>
                <w:rFonts w:hint="eastAsia"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0.5-1小时</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6" w:type="dxa"/>
            <w:vMerge w:val="continue"/>
            <w:tcBorders>
              <w:left w:val="nil"/>
              <w:bottom w:val="nil"/>
              <w:right w:val="nil"/>
            </w:tcBorders>
            <w:vAlign w:val="center"/>
          </w:tcPr>
          <w:p>
            <w:pPr>
              <w:bidi w:val="0"/>
              <w:jc w:val="center"/>
              <w:rPr>
                <w:rFonts w:hint="eastAsia" w:cstheme="minorBidi"/>
                <w:kern w:val="2"/>
                <w:sz w:val="24"/>
                <w:szCs w:val="24"/>
                <w:vertAlign w:val="baseline"/>
                <w:lang w:val="en-US" w:eastAsia="zh-CN" w:bidi="ar-SA"/>
              </w:rPr>
            </w:pPr>
          </w:p>
        </w:tc>
        <w:tc>
          <w:tcPr>
            <w:tcW w:w="3355" w:type="dxa"/>
            <w:tcBorders>
              <w:top w:val="nil"/>
              <w:left w:val="nil"/>
              <w:bottom w:val="nil"/>
              <w:right w:val="nil"/>
            </w:tcBorders>
            <w:vAlign w:val="center"/>
          </w:tcPr>
          <w:p>
            <w:pPr>
              <w:bidi w:val="0"/>
              <w:jc w:val="both"/>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1小时以上</w:t>
            </w:r>
          </w:p>
        </w:tc>
        <w:tc>
          <w:tcPr>
            <w:tcW w:w="2841" w:type="dxa"/>
            <w:tcBorders>
              <w:top w:val="nil"/>
              <w:left w:val="nil"/>
              <w:bottom w:val="nil"/>
              <w:right w:val="nil"/>
            </w:tcBorders>
            <w:vAlign w:val="center"/>
          </w:tcPr>
          <w:p>
            <w:pPr>
              <w:bidi w:val="0"/>
              <w:jc w:val="center"/>
              <w:rPr>
                <w:rFonts w:hint="default" w:cstheme="minorBidi"/>
                <w:kern w:val="2"/>
                <w:sz w:val="24"/>
                <w:szCs w:val="24"/>
                <w:vertAlign w:val="baseline"/>
                <w:lang w:val="en-US" w:eastAsia="zh-CN" w:bidi="ar-SA"/>
              </w:rPr>
            </w:pPr>
            <w:r>
              <w:rPr>
                <w:rFonts w:hint="eastAsia" w:cstheme="minorBidi"/>
                <w:kern w:val="2"/>
                <w:sz w:val="24"/>
                <w:szCs w:val="24"/>
                <w:vertAlign w:val="baseline"/>
                <w:lang w:val="en-US" w:eastAsia="zh-CN" w:bidi="ar-SA"/>
              </w:rPr>
              <w:t>21.2</w:t>
            </w:r>
          </w:p>
        </w:tc>
      </w:tr>
    </w:tbl>
    <w:p>
      <w:pPr>
        <w:bidi w:val="0"/>
        <w:rPr>
          <w:rFonts w:hint="default"/>
          <w:lang w:val="en-US" w:eastAsia="zh-CN"/>
        </w:rPr>
      </w:pPr>
    </w:p>
    <w:p>
      <w:pPr>
        <w:pStyle w:val="3"/>
        <w:bidi w:val="0"/>
        <w:rPr>
          <w:rFonts w:hint="default"/>
          <w:lang w:val="en-US" w:eastAsia="zh-CN"/>
        </w:rPr>
      </w:pPr>
      <w:bookmarkStart w:id="6" w:name="_Toc24183"/>
      <w:r>
        <w:rPr>
          <w:rFonts w:hint="default"/>
          <w:lang w:val="en-US" w:eastAsia="zh-CN"/>
        </w:rPr>
        <w:t xml:space="preserve">3.2 </w:t>
      </w:r>
      <w:r>
        <w:rPr>
          <w:rFonts w:hint="eastAsia"/>
          <w:lang w:val="en-US" w:eastAsia="zh-CN"/>
        </w:rPr>
        <w:t>盐都区博物馆</w:t>
      </w:r>
      <w:r>
        <w:rPr>
          <w:rFonts w:hint="default"/>
          <w:lang w:val="en-US" w:eastAsia="zh-CN"/>
        </w:rPr>
        <w:t>观众的参观目的与场馆偏好</w:t>
      </w:r>
      <w:bookmarkEnd w:id="6"/>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本次调查数据表明，盐都区博物馆的观众进行参观的主要目的主要有三个：增长知识、休闲娱乐和满足自己的兴趣，有 38.2%的被调查者是为了增长知识而参观，27.4%的被调查者是为了休闲娱乐，而 16.8%的被调查者则是出于个人兴趣，如图 3-1 所示。</w:t>
      </w:r>
    </w:p>
    <w:p>
      <w:pPr>
        <w:bidi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228590" cy="2940685"/>
            <wp:effectExtent l="4445" t="4445" r="5715"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bidi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图3-1 盐都区博物馆观众的参观目的 （n=715）</w:t>
      </w:r>
    </w:p>
    <w:p>
      <w:pPr>
        <w:bidi w:val="0"/>
        <w:ind w:firstLine="560" w:firstLineChars="200"/>
        <w:jc w:val="left"/>
        <w:rPr>
          <w:rFonts w:hint="eastAsia" w:ascii="仿宋" w:hAnsi="仿宋" w:eastAsia="仿宋" w:cs="仿宋"/>
          <w:kern w:val="2"/>
          <w:sz w:val="28"/>
          <w:szCs w:val="28"/>
          <w:lang w:val="en-US" w:eastAsia="zh-CN" w:bidi="ar-SA"/>
        </w:rPr>
      </w:pP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图 3-1 的结果表明，大多数观众都是有较为明确参观目的的，对于他们而言，在盐都区博物馆的参观活动是一种广义的“教育”活动，园区休闲与学习历史都兼顾，而非单纯的闲暇。那么，就参观者自身而言，他们认为他们的参观目的达到了吗？结果见图 3-2。</w:t>
      </w:r>
    </w:p>
    <w:p>
      <w:pPr>
        <w:bidi w:val="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4932680" cy="2608580"/>
            <wp:effectExtent l="4445" t="4445" r="15875" b="158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bidi w:val="0"/>
        <w:jc w:val="center"/>
        <w:rPr>
          <w:rFonts w:hint="eastAsia" w:ascii="仿宋" w:hAnsi="仿宋" w:eastAsia="仿宋" w:cs="仿宋"/>
          <w:kern w:val="2"/>
          <w:sz w:val="28"/>
          <w:szCs w:val="28"/>
          <w:lang w:val="en-US" w:eastAsia="zh-CN" w:bidi="ar-SA"/>
        </w:rPr>
      </w:pPr>
      <w:r>
        <w:rPr>
          <w:rFonts w:hint="eastAsia" w:ascii="宋体" w:hAnsi="宋体" w:eastAsia="宋体" w:cs="宋体"/>
          <w:b/>
          <w:bCs/>
          <w:kern w:val="2"/>
          <w:sz w:val="24"/>
          <w:szCs w:val="24"/>
          <w:lang w:val="en-US" w:eastAsia="zh-CN" w:bidi="ar-SA"/>
        </w:rPr>
        <w:t>图3-2 盐都区博物馆观众参观目的是否满足（n=715）</w:t>
      </w:r>
    </w:p>
    <w:p>
      <w:pPr>
        <w:bidi w:val="0"/>
        <w:ind w:firstLine="560" w:firstLineChars="200"/>
        <w:jc w:val="left"/>
        <w:rPr>
          <w:rFonts w:hint="eastAsia" w:ascii="仿宋" w:hAnsi="仿宋" w:eastAsia="仿宋" w:cs="仿宋"/>
          <w:kern w:val="2"/>
          <w:sz w:val="28"/>
          <w:szCs w:val="28"/>
          <w:lang w:val="en-US" w:eastAsia="zh-CN" w:bidi="ar-SA"/>
        </w:rPr>
      </w:pP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图3-2表明，绝大多数参观者在盐都区博物馆都能完成自己的参观目的，认为自己完成参观目的的被调查者高达 96.5%。这一结果表明，从总体上看，盐都区博物馆所提供的服务满足了观众的基本参观目的，能够让观众在馆内获取知识、获得休闲、或是满足自己的兴趣爱好。</w:t>
      </w:r>
    </w:p>
    <w:p>
      <w:pPr>
        <w:bidi w:val="0"/>
        <w:ind w:firstLine="560" w:firstLineChars="200"/>
        <w:jc w:val="left"/>
        <w:rPr>
          <w:rFonts w:hint="eastAsia" w:ascii="Arial" w:hAnsi="Arial" w:eastAsia="黑体" w:cstheme="minorBidi"/>
          <w:b/>
          <w:kern w:val="2"/>
          <w:sz w:val="32"/>
          <w:szCs w:val="24"/>
          <w:lang w:val="en-US" w:eastAsia="zh-CN" w:bidi="ar-SA"/>
        </w:rPr>
      </w:pPr>
      <w:r>
        <w:rPr>
          <w:rFonts w:hint="eastAsia" w:ascii="仿宋" w:hAnsi="仿宋" w:eastAsia="仿宋" w:cs="仿宋"/>
          <w:kern w:val="2"/>
          <w:sz w:val="28"/>
          <w:szCs w:val="28"/>
          <w:lang w:val="en-US" w:eastAsia="zh-CN" w:bidi="ar-SA"/>
        </w:rPr>
        <w:t>那么，观众在盐都区博物馆一般会参观哪些场馆呢？24.9%的观众只是参观了基本陈列厅，剩下的75.1%的观众既参观了基本陈列厅也参观了临时展厅。这应该是因为临时展厅与基本陈列厅距离不远有关。</w:t>
      </w:r>
    </w:p>
    <w:p>
      <w:pPr>
        <w:pStyle w:val="3"/>
        <w:bidi w:val="0"/>
        <w:rPr>
          <w:rFonts w:hint="eastAsia"/>
          <w:lang w:val="en-US" w:eastAsia="zh-CN"/>
        </w:rPr>
      </w:pPr>
      <w:bookmarkStart w:id="7" w:name="_Toc2795"/>
      <w:r>
        <w:rPr>
          <w:rFonts w:hint="eastAsia"/>
          <w:lang w:val="en-US" w:eastAsia="zh-CN"/>
        </w:rPr>
        <w:t>3.3 盐都区博物馆观众的服务使用与满意度</w:t>
      </w:r>
      <w:bookmarkEnd w:id="7"/>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本研究在问卷中测量了观众在盐都区博物馆可能使用的各种服务，我们首先关注的是观众对盐都区博物馆各项服务的使用状况，结果形成了图 3-3。</w:t>
      </w:r>
    </w:p>
    <w:p>
      <w:pPr>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bidi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图3-3 盐都区博物馆观众对各项服务的使用情况（n=715）</w:t>
      </w:r>
    </w:p>
    <w:p>
      <w:pPr>
        <w:bidi w:val="0"/>
        <w:jc w:val="left"/>
        <w:rPr>
          <w:rFonts w:hint="eastAsia" w:ascii="仿宋" w:hAnsi="仿宋" w:eastAsia="仿宋" w:cs="仿宋"/>
          <w:kern w:val="2"/>
          <w:sz w:val="28"/>
          <w:szCs w:val="28"/>
          <w:lang w:val="en-US" w:eastAsia="zh-CN" w:bidi="ar-SA"/>
        </w:rPr>
      </w:pP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图 3-3 中可以相当直观地看到，观众对盐都区博物馆的服务的使用状况是很不相同的。使用最多的服务主要有两项：路标指引（96.1%）和休息休闲设施（87.4%）服务，当然这可以理解，这是盐都区博物馆面向所有参观者的一般服务内容，甚至对于路标指引和休息而言，这几乎就是在博物馆内参观所必需的。使用最少的服务是社会教育等活动服务，参观者中使用该服务的有21.4%，这与盐都区博物馆举办的社会教育类活动场次不够多有关。值得关注的是咨询和讲解服务，这些服务的使用率在 50%左右。本报告首先关注的是盐都区博物馆服务的观众满意度如何，当然，这里仅针对使用过该项服务的观众。</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表 3-2 呈现了使用服务的观众对相关服务的满意状况。表 3-2 的结果表明，观众对盐都区博物馆服务的满意度相当高，对各项服务，超过 90%的被调查观众给出的评价都是“非常满意”，超过 95%的被调查观众给出的评价都是“满意”以上。</w:t>
      </w:r>
    </w:p>
    <w:p>
      <w:pPr>
        <w:jc w:val="center"/>
        <w:rPr>
          <w:rFonts w:hint="eastAsia" w:ascii="Calibri" w:hAnsi="Calibri" w:eastAsia="宋体" w:cs="Calibri"/>
          <w:b/>
          <w:bCs/>
          <w:sz w:val="24"/>
          <w:szCs w:val="24"/>
          <w:lang w:val="en-US" w:eastAsia="zh-CN"/>
        </w:rPr>
      </w:pPr>
      <w:r>
        <w:rPr>
          <w:rFonts w:hint="eastAsia" w:ascii="Calibri" w:hAnsi="Calibri" w:eastAsia="宋体" w:cs="Calibri"/>
          <w:b/>
          <w:bCs/>
          <w:sz w:val="24"/>
          <w:szCs w:val="24"/>
          <w:lang w:val="en-US" w:eastAsia="zh-CN"/>
        </w:rPr>
        <w:t>表3-2 盐都区博物馆观众对服务的满意度（%）</w:t>
      </w:r>
      <w:r>
        <w:rPr>
          <w:rFonts w:hint="eastAsia" w:ascii="宋体" w:hAnsi="宋体" w:eastAsia="宋体" w:cs="宋体"/>
          <w:b/>
          <w:bCs/>
          <w:kern w:val="2"/>
          <w:sz w:val="24"/>
          <w:szCs w:val="24"/>
          <w:lang w:val="en-US" w:eastAsia="zh-CN" w:bidi="ar-SA"/>
        </w:rPr>
        <w:t>（n=715）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530"/>
        <w:gridCol w:w="1305"/>
        <w:gridCol w:w="1230"/>
        <w:gridCol w:w="1290"/>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86" w:type="dxa"/>
            <w:tcBorders>
              <w:top w:val="single" w:color="auto" w:sz="18" w:space="0"/>
              <w:left w:val="nil"/>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服务</w:t>
            </w:r>
          </w:p>
        </w:tc>
        <w:tc>
          <w:tcPr>
            <w:tcW w:w="1530" w:type="dxa"/>
            <w:tcBorders>
              <w:top w:val="single" w:color="auto" w:sz="18" w:space="0"/>
              <w:left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非常满意</w:t>
            </w:r>
          </w:p>
        </w:tc>
        <w:tc>
          <w:tcPr>
            <w:tcW w:w="1305" w:type="dxa"/>
            <w:tcBorders>
              <w:top w:val="single" w:color="auto" w:sz="18" w:space="0"/>
              <w:left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满意</w:t>
            </w:r>
          </w:p>
        </w:tc>
        <w:tc>
          <w:tcPr>
            <w:tcW w:w="1230" w:type="dxa"/>
            <w:tcBorders>
              <w:top w:val="single" w:color="auto" w:sz="18" w:space="0"/>
              <w:left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一般</w:t>
            </w:r>
          </w:p>
        </w:tc>
        <w:tc>
          <w:tcPr>
            <w:tcW w:w="1290" w:type="dxa"/>
            <w:tcBorders>
              <w:top w:val="single" w:color="auto" w:sz="18" w:space="0"/>
              <w:left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不太满意</w:t>
            </w:r>
          </w:p>
        </w:tc>
        <w:tc>
          <w:tcPr>
            <w:tcW w:w="1081" w:type="dxa"/>
            <w:tcBorders>
              <w:top w:val="single" w:color="auto" w:sz="18" w:space="0"/>
              <w:left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tcBorders>
              <w:left w:val="nil"/>
              <w:bottom w:val="nil"/>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路标指引</w:t>
            </w:r>
          </w:p>
        </w:tc>
        <w:tc>
          <w:tcPr>
            <w:tcW w:w="1530" w:type="dxa"/>
            <w:tcBorders>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90.6</w:t>
            </w:r>
          </w:p>
        </w:tc>
        <w:tc>
          <w:tcPr>
            <w:tcW w:w="1305" w:type="dxa"/>
            <w:tcBorders>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5.3</w:t>
            </w:r>
          </w:p>
        </w:tc>
        <w:tc>
          <w:tcPr>
            <w:tcW w:w="1230" w:type="dxa"/>
            <w:tcBorders>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3.4</w:t>
            </w:r>
          </w:p>
        </w:tc>
        <w:tc>
          <w:tcPr>
            <w:tcW w:w="1290" w:type="dxa"/>
            <w:tcBorders>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0.7</w:t>
            </w:r>
          </w:p>
        </w:tc>
        <w:tc>
          <w:tcPr>
            <w:tcW w:w="1081" w:type="dxa"/>
            <w:tcBorders>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tcBorders>
              <w:top w:val="nil"/>
              <w:left w:val="nil"/>
              <w:bottom w:val="nil"/>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咨询</w:t>
            </w:r>
          </w:p>
        </w:tc>
        <w:tc>
          <w:tcPr>
            <w:tcW w:w="15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91.2</w:t>
            </w:r>
          </w:p>
        </w:tc>
        <w:tc>
          <w:tcPr>
            <w:tcW w:w="1305"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6.3</w:t>
            </w:r>
          </w:p>
        </w:tc>
        <w:tc>
          <w:tcPr>
            <w:tcW w:w="12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2.1</w:t>
            </w:r>
          </w:p>
        </w:tc>
        <w:tc>
          <w:tcPr>
            <w:tcW w:w="129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0.4</w:t>
            </w:r>
          </w:p>
        </w:tc>
        <w:tc>
          <w:tcPr>
            <w:tcW w:w="1081"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tcBorders>
              <w:top w:val="nil"/>
              <w:left w:val="nil"/>
              <w:bottom w:val="nil"/>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讲解服务</w:t>
            </w:r>
          </w:p>
        </w:tc>
        <w:tc>
          <w:tcPr>
            <w:tcW w:w="15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91.7</w:t>
            </w:r>
          </w:p>
        </w:tc>
        <w:tc>
          <w:tcPr>
            <w:tcW w:w="1305"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5.7</w:t>
            </w:r>
          </w:p>
        </w:tc>
        <w:tc>
          <w:tcPr>
            <w:tcW w:w="12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2.2</w:t>
            </w:r>
          </w:p>
        </w:tc>
        <w:tc>
          <w:tcPr>
            <w:tcW w:w="129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0.4</w:t>
            </w:r>
          </w:p>
        </w:tc>
        <w:tc>
          <w:tcPr>
            <w:tcW w:w="1081"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tcBorders>
              <w:top w:val="nil"/>
              <w:left w:val="nil"/>
              <w:bottom w:val="nil"/>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休息休闲设施</w:t>
            </w:r>
          </w:p>
        </w:tc>
        <w:tc>
          <w:tcPr>
            <w:tcW w:w="15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90.5</w:t>
            </w:r>
          </w:p>
        </w:tc>
        <w:tc>
          <w:tcPr>
            <w:tcW w:w="1305"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5.9</w:t>
            </w:r>
          </w:p>
        </w:tc>
        <w:tc>
          <w:tcPr>
            <w:tcW w:w="123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2.8</w:t>
            </w:r>
          </w:p>
        </w:tc>
        <w:tc>
          <w:tcPr>
            <w:tcW w:w="1290"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0.8</w:t>
            </w:r>
          </w:p>
        </w:tc>
        <w:tc>
          <w:tcPr>
            <w:tcW w:w="1081" w:type="dxa"/>
            <w:tcBorders>
              <w:top w:val="nil"/>
              <w:left w:val="nil"/>
              <w:bottom w:val="nil"/>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6" w:type="dxa"/>
            <w:tcBorders>
              <w:top w:val="nil"/>
              <w:left w:val="nil"/>
              <w:bottom w:val="single" w:color="auto" w:sz="18" w:space="0"/>
              <w:right w:val="nil"/>
            </w:tcBorders>
            <w:vAlign w:val="center"/>
          </w:tcPr>
          <w:p>
            <w:pPr>
              <w:jc w:val="both"/>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社会教育活动</w:t>
            </w:r>
          </w:p>
        </w:tc>
        <w:tc>
          <w:tcPr>
            <w:tcW w:w="1530" w:type="dxa"/>
            <w:tcBorders>
              <w:top w:val="nil"/>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90.2</w:t>
            </w:r>
          </w:p>
        </w:tc>
        <w:tc>
          <w:tcPr>
            <w:tcW w:w="1305" w:type="dxa"/>
            <w:tcBorders>
              <w:top w:val="nil"/>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4.9</w:t>
            </w:r>
          </w:p>
        </w:tc>
        <w:tc>
          <w:tcPr>
            <w:tcW w:w="1230" w:type="dxa"/>
            <w:tcBorders>
              <w:top w:val="nil"/>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3.2</w:t>
            </w:r>
          </w:p>
        </w:tc>
        <w:tc>
          <w:tcPr>
            <w:tcW w:w="1290" w:type="dxa"/>
            <w:tcBorders>
              <w:top w:val="nil"/>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1.7</w:t>
            </w:r>
          </w:p>
        </w:tc>
        <w:tc>
          <w:tcPr>
            <w:tcW w:w="1081" w:type="dxa"/>
            <w:tcBorders>
              <w:top w:val="nil"/>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bl>
    <w:p>
      <w:pPr>
        <w:bidi w:val="0"/>
        <w:ind w:firstLine="560" w:firstLineChars="200"/>
        <w:jc w:val="left"/>
        <w:rPr>
          <w:rFonts w:hint="eastAsia" w:ascii="仿宋" w:hAnsi="仿宋" w:eastAsia="仿宋" w:cs="仿宋"/>
          <w:kern w:val="2"/>
          <w:sz w:val="28"/>
          <w:szCs w:val="28"/>
          <w:lang w:val="en-US" w:eastAsia="zh-CN" w:bidi="ar-SA"/>
        </w:rPr>
      </w:pP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表 3-2 的结果中，观众满意度最高的服务主要有两项：咨询和讲解服务，“非常满意”的百分比都高于 91%，而“满意”以上的百分比都高于 95%。</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观众满意度同样很高的服务有路标指引和休息休闲设施，“非常满意”的百分比高于 90.5%，而总体的“满意”百分比也超过 95%。观众满意度相对较低的是社会教育活动：有超过 1%的被调查观众选择了“不太满意”。</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从这些结果可以看到，盐都区博物馆的各项观众服务的总体使用率较高，观众对各项服务也相当认可，总体满意度较高。</w:t>
      </w:r>
    </w:p>
    <w:p>
      <w:pPr>
        <w:pStyle w:val="3"/>
        <w:bidi w:val="0"/>
        <w:rPr>
          <w:rFonts w:hint="eastAsia"/>
          <w:lang w:val="en-US" w:eastAsia="zh-CN"/>
        </w:rPr>
      </w:pPr>
      <w:bookmarkStart w:id="8" w:name="_Toc9804"/>
      <w:r>
        <w:rPr>
          <w:rFonts w:hint="eastAsia"/>
          <w:lang w:val="en-US" w:eastAsia="zh-CN"/>
        </w:rPr>
        <w:t>3.4 盐都区博物馆观众的整体满意度</w:t>
      </w:r>
      <w:bookmarkEnd w:id="8"/>
    </w:p>
    <w:p>
      <w:pPr>
        <w:bidi w:val="0"/>
        <w:ind w:firstLine="560" w:firstLineChars="200"/>
        <w:jc w:val="left"/>
        <w:rPr>
          <w:rFonts w:hint="eastAsia" w:ascii="Calibri" w:hAnsi="Calibri" w:eastAsia="宋体" w:cs="Calibri"/>
          <w:b/>
          <w:bCs/>
          <w:sz w:val="24"/>
          <w:szCs w:val="24"/>
          <w:lang w:val="en-US" w:eastAsia="zh-CN"/>
        </w:rPr>
      </w:pPr>
      <w:r>
        <w:rPr>
          <w:rFonts w:hint="eastAsia" w:ascii="仿宋" w:hAnsi="仿宋" w:eastAsia="仿宋" w:cs="仿宋"/>
          <w:kern w:val="2"/>
          <w:sz w:val="28"/>
          <w:szCs w:val="28"/>
          <w:lang w:val="en-US" w:eastAsia="zh-CN" w:bidi="ar-SA"/>
        </w:rPr>
        <w:t>表 3-3 呈现了盐都区博物馆游客对于工作人员服务的总体满意度状况，可以看出，游客的实际满意度很高。</w:t>
      </w:r>
    </w:p>
    <w:p>
      <w:pPr>
        <w:jc w:val="center"/>
        <w:rPr>
          <w:rFonts w:hint="eastAsia" w:ascii="Calibri" w:hAnsi="Calibri" w:eastAsia="宋体" w:cs="Calibri"/>
          <w:b/>
          <w:bCs/>
          <w:sz w:val="24"/>
          <w:szCs w:val="24"/>
          <w:lang w:val="en-US" w:eastAsia="zh-CN"/>
        </w:rPr>
      </w:pPr>
      <w:r>
        <w:rPr>
          <w:rFonts w:hint="eastAsia" w:ascii="Calibri" w:hAnsi="Calibri" w:eastAsia="宋体" w:cs="Calibri"/>
          <w:b/>
          <w:bCs/>
          <w:sz w:val="24"/>
          <w:szCs w:val="24"/>
          <w:lang w:val="en-US" w:eastAsia="zh-CN"/>
        </w:rPr>
        <w:t>表3 -3盐都区博物馆观众对于工作人员服务的总体满意度（%）（n=715）</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410"/>
        <w:gridCol w:w="1290"/>
        <w:gridCol w:w="1110"/>
        <w:gridCol w:w="1365"/>
        <w:gridCol w:w="124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sz w:val="24"/>
                <w:szCs w:val="24"/>
                <w:vertAlign w:val="baseline"/>
                <w:lang w:val="en-US" w:eastAsia="zh-CN"/>
              </w:rPr>
            </w:pPr>
          </w:p>
        </w:tc>
        <w:tc>
          <w:tcPr>
            <w:tcW w:w="1410" w:type="dxa"/>
            <w:tcBorders>
              <w:top w:val="single" w:color="auto" w:sz="18" w:space="0"/>
              <w:left w:val="nil"/>
              <w:bottom w:val="single" w:color="auto" w:sz="2"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非常满意</w:t>
            </w:r>
          </w:p>
        </w:tc>
        <w:tc>
          <w:tcPr>
            <w:tcW w:w="129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满意</w:t>
            </w:r>
          </w:p>
        </w:tc>
        <w:tc>
          <w:tcPr>
            <w:tcW w:w="111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一般</w:t>
            </w:r>
          </w:p>
        </w:tc>
        <w:tc>
          <w:tcPr>
            <w:tcW w:w="1365"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不太满意</w:t>
            </w:r>
          </w:p>
        </w:tc>
        <w:tc>
          <w:tcPr>
            <w:tcW w:w="1246"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不满意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工作人员服务</w:t>
            </w:r>
          </w:p>
        </w:tc>
        <w:tc>
          <w:tcPr>
            <w:tcW w:w="14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91.9</w:t>
            </w:r>
          </w:p>
        </w:tc>
        <w:tc>
          <w:tcPr>
            <w:tcW w:w="129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6.3</w:t>
            </w:r>
          </w:p>
        </w:tc>
        <w:tc>
          <w:tcPr>
            <w:tcW w:w="11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1.8</w:t>
            </w:r>
          </w:p>
        </w:tc>
        <w:tc>
          <w:tcPr>
            <w:tcW w:w="1365"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c>
          <w:tcPr>
            <w:tcW w:w="1246"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bl>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表 3-4 呈现了盐都区博物馆观众的整体满意度状况。</w:t>
      </w:r>
    </w:p>
    <w:p>
      <w:pPr>
        <w:jc w:val="center"/>
        <w:rPr>
          <w:rFonts w:hint="eastAsia" w:ascii="Calibri" w:hAnsi="Calibri" w:eastAsia="宋体" w:cs="Calibri"/>
          <w:b/>
          <w:bCs/>
          <w:sz w:val="24"/>
          <w:szCs w:val="24"/>
          <w:lang w:val="en-US" w:eastAsia="zh-CN"/>
        </w:rPr>
      </w:pPr>
      <w:r>
        <w:rPr>
          <w:rFonts w:hint="eastAsia" w:ascii="Calibri" w:hAnsi="Calibri" w:eastAsia="宋体" w:cs="Calibri"/>
          <w:b/>
          <w:bCs/>
          <w:sz w:val="24"/>
          <w:szCs w:val="24"/>
          <w:lang w:val="en-US" w:eastAsia="zh-CN"/>
        </w:rPr>
        <w:t>表3 -4盐都区博物馆观众的整体满意度（%）（n=715）</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410"/>
        <w:gridCol w:w="1290"/>
        <w:gridCol w:w="1110"/>
        <w:gridCol w:w="1365"/>
        <w:gridCol w:w="124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sz w:val="24"/>
                <w:szCs w:val="24"/>
                <w:vertAlign w:val="baseline"/>
                <w:lang w:val="en-US" w:eastAsia="zh-CN"/>
              </w:rPr>
            </w:pPr>
          </w:p>
        </w:tc>
        <w:tc>
          <w:tcPr>
            <w:tcW w:w="1410" w:type="dxa"/>
            <w:tcBorders>
              <w:top w:val="single" w:color="auto" w:sz="18" w:space="0"/>
              <w:left w:val="nil"/>
              <w:bottom w:val="single" w:color="auto" w:sz="2"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非常满意</w:t>
            </w:r>
          </w:p>
        </w:tc>
        <w:tc>
          <w:tcPr>
            <w:tcW w:w="129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满意</w:t>
            </w:r>
          </w:p>
        </w:tc>
        <w:tc>
          <w:tcPr>
            <w:tcW w:w="111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一般</w:t>
            </w:r>
          </w:p>
        </w:tc>
        <w:tc>
          <w:tcPr>
            <w:tcW w:w="1365"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不太满意</w:t>
            </w:r>
          </w:p>
        </w:tc>
        <w:tc>
          <w:tcPr>
            <w:tcW w:w="1246"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不满意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总体参观体验</w:t>
            </w:r>
          </w:p>
        </w:tc>
        <w:tc>
          <w:tcPr>
            <w:tcW w:w="14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92.3</w:t>
            </w:r>
          </w:p>
        </w:tc>
        <w:tc>
          <w:tcPr>
            <w:tcW w:w="129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5.6</w:t>
            </w:r>
          </w:p>
        </w:tc>
        <w:tc>
          <w:tcPr>
            <w:tcW w:w="11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2.1</w:t>
            </w:r>
          </w:p>
        </w:tc>
        <w:tc>
          <w:tcPr>
            <w:tcW w:w="1365"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c>
          <w:tcPr>
            <w:tcW w:w="1246"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bl>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表 3-4 显示，总体参观体验中，有 92.3%的被调查观众给出了“非常满意”的评价，而5.6%的观众给出了“满意”的评价，两者相加的百分比大约为 98%，是非常高的满意度。</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表3-5呈现了观众对于盐都博物馆的展览的满意度，可以看出比较感兴趣的版块是盐都红色文化和盐都的水乡民俗；还有一大部分的观众对于盐都的地方历史和人文历史兴趣较深。</w:t>
      </w:r>
    </w:p>
    <w:p>
      <w:pPr>
        <w:jc w:val="center"/>
        <w:rPr>
          <w:rFonts w:hint="eastAsia" w:ascii="Calibri" w:hAnsi="Calibri" w:eastAsia="宋体" w:cs="Calibri"/>
          <w:b/>
          <w:bCs/>
          <w:sz w:val="24"/>
          <w:szCs w:val="24"/>
          <w:lang w:val="en-US" w:eastAsia="zh-CN"/>
        </w:rPr>
      </w:pPr>
      <w:r>
        <w:rPr>
          <w:rFonts w:hint="eastAsia" w:ascii="Calibri" w:hAnsi="Calibri" w:eastAsia="宋体" w:cs="Calibri"/>
          <w:b/>
          <w:bCs/>
          <w:sz w:val="24"/>
          <w:szCs w:val="24"/>
          <w:lang w:val="en-US" w:eastAsia="zh-CN"/>
        </w:rPr>
        <w:t>表3 -5盐都区博物馆观众对展览的满意度（%）（n=715）</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410"/>
        <w:gridCol w:w="1290"/>
        <w:gridCol w:w="1110"/>
        <w:gridCol w:w="1365"/>
        <w:gridCol w:w="124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sz w:val="24"/>
                <w:szCs w:val="24"/>
                <w:vertAlign w:val="baseline"/>
                <w:lang w:val="en-US" w:eastAsia="zh-CN"/>
              </w:rPr>
            </w:pPr>
          </w:p>
        </w:tc>
        <w:tc>
          <w:tcPr>
            <w:tcW w:w="1410" w:type="dxa"/>
            <w:tcBorders>
              <w:top w:val="single" w:color="auto" w:sz="18" w:space="0"/>
              <w:left w:val="nil"/>
              <w:bottom w:val="single" w:color="auto" w:sz="2"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非常满意</w:t>
            </w:r>
          </w:p>
        </w:tc>
        <w:tc>
          <w:tcPr>
            <w:tcW w:w="129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满意</w:t>
            </w:r>
          </w:p>
        </w:tc>
        <w:tc>
          <w:tcPr>
            <w:tcW w:w="1110"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一般</w:t>
            </w:r>
          </w:p>
        </w:tc>
        <w:tc>
          <w:tcPr>
            <w:tcW w:w="1365"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不太满意</w:t>
            </w:r>
          </w:p>
        </w:tc>
        <w:tc>
          <w:tcPr>
            <w:tcW w:w="1246" w:type="dxa"/>
            <w:tcBorders>
              <w:top w:val="single" w:color="auto" w:sz="18" w:space="0"/>
              <w:left w:val="nil"/>
              <w:bottom w:val="single" w:color="auto" w:sz="2" w:space="0"/>
              <w:right w:val="nil"/>
            </w:tcBorders>
            <w:vAlign w:val="center"/>
          </w:tcPr>
          <w:p>
            <w:pPr>
              <w:jc w:val="center"/>
              <w:rPr>
                <w:rFonts w:hint="eastAsia" w:ascii="Calibri" w:hAnsi="Calibri" w:eastAsia="宋体" w:cs="Calibri"/>
                <w:b w:val="0"/>
                <w:bCs w:val="0"/>
                <w:kern w:val="2"/>
                <w:sz w:val="24"/>
                <w:szCs w:val="24"/>
                <w:vertAlign w:val="baseline"/>
                <w:lang w:val="en-US" w:eastAsia="zh-CN" w:bidi="ar-SA"/>
              </w:rPr>
            </w:pPr>
            <w:r>
              <w:rPr>
                <w:rFonts w:hint="eastAsia" w:ascii="Calibri" w:hAnsi="Calibri" w:eastAsia="宋体" w:cs="Calibri"/>
                <w:b w:val="0"/>
                <w:bCs w:val="0"/>
                <w:sz w:val="24"/>
                <w:szCs w:val="24"/>
                <w:vertAlign w:val="baseline"/>
                <w:lang w:val="en-US" w:eastAsia="zh-CN"/>
              </w:rPr>
              <w:t>不满意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1"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展览满意度</w:t>
            </w:r>
          </w:p>
        </w:tc>
        <w:tc>
          <w:tcPr>
            <w:tcW w:w="14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91.6</w:t>
            </w:r>
          </w:p>
        </w:tc>
        <w:tc>
          <w:tcPr>
            <w:tcW w:w="129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5.8</w:t>
            </w:r>
          </w:p>
        </w:tc>
        <w:tc>
          <w:tcPr>
            <w:tcW w:w="1110"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2.6</w:t>
            </w:r>
          </w:p>
        </w:tc>
        <w:tc>
          <w:tcPr>
            <w:tcW w:w="1365"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c>
          <w:tcPr>
            <w:tcW w:w="1246" w:type="dxa"/>
            <w:tcBorders>
              <w:top w:val="single" w:color="auto" w:sz="2" w:space="0"/>
              <w:left w:val="nil"/>
              <w:bottom w:val="single" w:color="auto" w:sz="18" w:space="0"/>
              <w:right w:val="nil"/>
            </w:tcBorders>
            <w:vAlign w:val="center"/>
          </w:tcPr>
          <w:p>
            <w:pPr>
              <w:jc w:val="center"/>
              <w:rPr>
                <w:rFonts w:hint="default" w:ascii="Calibri" w:hAnsi="Calibri" w:eastAsia="宋体" w:cs="Calibri"/>
                <w:b w:val="0"/>
                <w:bCs w:val="0"/>
                <w:sz w:val="24"/>
                <w:szCs w:val="24"/>
                <w:vertAlign w:val="baseline"/>
                <w:lang w:val="en-US" w:eastAsia="zh-CN"/>
              </w:rPr>
            </w:pPr>
            <w:r>
              <w:rPr>
                <w:rFonts w:hint="eastAsia" w:ascii="Calibri" w:hAnsi="Calibri" w:eastAsia="宋体" w:cs="Calibri"/>
                <w:b w:val="0"/>
                <w:bCs w:val="0"/>
                <w:sz w:val="24"/>
                <w:szCs w:val="24"/>
                <w:vertAlign w:val="baseline"/>
                <w:lang w:val="en-US" w:eastAsia="zh-CN"/>
              </w:rPr>
              <w:t>0</w:t>
            </w:r>
          </w:p>
        </w:tc>
      </w:tr>
    </w:tbl>
    <w:p>
      <w:pPr>
        <w:pStyle w:val="3"/>
        <w:bidi w:val="0"/>
        <w:rPr>
          <w:rFonts w:hint="eastAsia"/>
          <w:b/>
          <w:lang w:val="en-US" w:eastAsia="zh-CN"/>
        </w:rPr>
      </w:pPr>
      <w:bookmarkStart w:id="9" w:name="_Toc12386"/>
      <w:r>
        <w:rPr>
          <w:rFonts w:hint="eastAsia"/>
          <w:b/>
          <w:lang w:val="en-US" w:eastAsia="zh-CN"/>
        </w:rPr>
        <w:t>3.5 盐都区博物馆的吸引力</w:t>
      </w:r>
      <w:bookmarkEnd w:id="9"/>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我们将这种观众吸引力分为两个维度进行测量：一是询问再次光临馆内参观的可能性，二是询问愿意向周围朋友推荐的可能性。图 4-1 便是是否愿意再次参观的结果。</w:t>
      </w:r>
    </w:p>
    <w:p>
      <w:pPr>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bidi w:val="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图3-4盐都区博物馆观众的再次参观意愿</w:t>
      </w:r>
      <w:r>
        <w:rPr>
          <w:rFonts w:hint="eastAsia" w:ascii="Calibri" w:hAnsi="Calibri" w:eastAsia="宋体" w:cs="Calibri"/>
          <w:b/>
          <w:bCs/>
          <w:sz w:val="24"/>
          <w:szCs w:val="24"/>
          <w:lang w:val="en-US" w:eastAsia="zh-CN"/>
        </w:rPr>
        <w:t>（n=715）</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应该说图 3-4 的结果是非常直观的，绝大部分的被调查观众都表示可能会再次参观，超过50%的被调查观众则表示一定会再次参观。具体来说，有59.2%的被调查观众表示一定会再次参观，有38.2%则表示可能会参观，两者加总的比例高达97.4%。实际上，很肯定地表明“不会”再参观的仅有0.2%，要考虑到毕竟有不少游客是不远万里来到盐城旅行的。因此，总体上，盐都区博物馆在观众中是有着很好的口碑的，观众是愿意再次到馆参观的。</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那么观众愿意向周围的亲戚朋友推荐盐都区博物馆吗？统计结果参见图 3-5。</w:t>
      </w:r>
    </w:p>
    <w:p>
      <w:pPr>
        <w:bidi w:val="0"/>
        <w:ind w:firstLine="560" w:firstLineChars="200"/>
        <w:jc w:val="left"/>
        <w:rPr>
          <w:rFonts w:hint="eastAsia" w:ascii="仿宋" w:hAnsi="仿宋" w:eastAsia="仿宋" w:cs="仿宋"/>
          <w:kern w:val="2"/>
          <w:sz w:val="28"/>
          <w:szCs w:val="28"/>
          <w:lang w:val="en-US" w:eastAsia="zh-CN" w:bidi="ar-SA"/>
        </w:rPr>
      </w:pPr>
    </w:p>
    <w:p>
      <w:pPr>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bidi w:val="0"/>
        <w:jc w:val="center"/>
        <w:rPr>
          <w:rFonts w:hint="eastAsia" w:ascii="Calibri" w:hAnsi="Calibri" w:eastAsia="宋体" w:cs="Calibri"/>
          <w:b/>
          <w:bCs/>
          <w:sz w:val="24"/>
          <w:szCs w:val="24"/>
          <w:lang w:val="en-US" w:eastAsia="zh-CN"/>
        </w:rPr>
      </w:pPr>
      <w:r>
        <w:rPr>
          <w:rFonts w:hint="eastAsia" w:ascii="宋体" w:hAnsi="宋体" w:eastAsia="宋体" w:cs="宋体"/>
          <w:b/>
          <w:bCs/>
          <w:kern w:val="2"/>
          <w:sz w:val="24"/>
          <w:szCs w:val="24"/>
          <w:lang w:val="en-US" w:eastAsia="zh-CN" w:bidi="ar-SA"/>
        </w:rPr>
        <w:t>图3-4盐都区博物馆观众的推荐意愿</w:t>
      </w:r>
      <w:r>
        <w:rPr>
          <w:rFonts w:hint="eastAsia" w:ascii="Calibri" w:hAnsi="Calibri" w:eastAsia="宋体" w:cs="Calibri"/>
          <w:b/>
          <w:bCs/>
          <w:sz w:val="24"/>
          <w:szCs w:val="24"/>
          <w:lang w:val="en-US" w:eastAsia="zh-CN"/>
        </w:rPr>
        <w:t>（n=715）</w:t>
      </w:r>
    </w:p>
    <w:p>
      <w:pPr>
        <w:bidi w:val="0"/>
        <w:jc w:val="both"/>
        <w:rPr>
          <w:rFonts w:hint="eastAsia" w:ascii="Calibri" w:hAnsi="Calibri" w:eastAsia="宋体" w:cs="Calibri"/>
          <w:b/>
          <w:bCs/>
          <w:sz w:val="24"/>
          <w:szCs w:val="24"/>
          <w:lang w:val="en-US" w:eastAsia="zh-CN"/>
        </w:rPr>
        <w:sectPr>
          <w:pgSz w:w="11906" w:h="16838"/>
          <w:pgMar w:top="1440" w:right="1800" w:bottom="1440" w:left="1800" w:header="851" w:footer="992" w:gutter="0"/>
          <w:cols w:space="425" w:num="1"/>
          <w:docGrid w:type="lines" w:linePitch="312" w:charSpace="0"/>
        </w:sectPr>
      </w:pPr>
    </w:p>
    <w:p>
      <w:pPr>
        <w:pStyle w:val="2"/>
        <w:bidi w:val="0"/>
        <w:rPr>
          <w:rFonts w:hint="eastAsia"/>
          <w:lang w:val="en-US" w:eastAsia="zh-CN"/>
        </w:rPr>
      </w:pPr>
      <w:bookmarkStart w:id="10" w:name="_Toc547"/>
      <w:r>
        <w:rPr>
          <w:rFonts w:hint="eastAsia"/>
          <w:lang w:val="en-US" w:eastAsia="zh-CN"/>
        </w:rPr>
        <w:t>4.4盐都区博物馆发展建议</w:t>
      </w:r>
      <w:bookmarkEnd w:id="10"/>
    </w:p>
    <w:p>
      <w:pPr>
        <w:pStyle w:val="3"/>
        <w:bidi w:val="0"/>
        <w:rPr>
          <w:rFonts w:hint="eastAsia"/>
          <w:lang w:val="en-US" w:eastAsia="zh-CN"/>
        </w:rPr>
      </w:pPr>
      <w:bookmarkStart w:id="11" w:name="_Toc28357"/>
      <w:r>
        <w:rPr>
          <w:rFonts w:hint="eastAsia"/>
          <w:lang w:val="en-US" w:eastAsia="zh-CN"/>
        </w:rPr>
        <w:t>4.1 调查小结</w:t>
      </w:r>
      <w:bookmarkEnd w:id="11"/>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针对盐都区博物馆观众参观之现状，为了观众能够在盐都区博物馆得到更好的参观体验，也为了盐都区博物馆能够进一步提升自己的服务能力，盐都区博物馆组织了专项调查。通过大规模抽取样本，本调查最终在盐都区博物馆内抽取了有参观经历的观众 2185 人，并对其进行了《盐都区博物馆观众调查问卷》，以自填式问卷的形式深入了解了盐都区博物馆内观众的基本概况、服务满意度、整体满意度、口碑与推荐等多方面的信息。通过对搜集上来的问卷数据进行详尽的统计分析，本次调查获得了以下重要结论：</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（1）盐都区博物馆的观众有着较明确的参观目的，即在博物馆内获取信息、获得休闲、实现个人兴趣，观众在盐都区博物馆能够实现其参观目的。</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（2）观众在盐都区博物馆使用的服务包括专业服务、一般服务和环境服务，对这些服务，观众的实际使用率较高，观众使用服务后的满意度也相当高。</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（3）观众对盐都区博物馆整体的满意度很高，对工作人员的满意度也较高。</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（4）盐都区博物馆在观众中的口碑相当好，观众也非常愿意将盐都区博物馆推荐给自己的朋友。</w:t>
      </w:r>
    </w:p>
    <w:p>
      <w:pPr>
        <w:pStyle w:val="3"/>
        <w:bidi w:val="0"/>
        <w:rPr>
          <w:rFonts w:hint="eastAsia"/>
          <w:lang w:val="en-US" w:eastAsia="zh-CN"/>
        </w:rPr>
      </w:pPr>
      <w:bookmarkStart w:id="12" w:name="_Toc11615"/>
      <w:r>
        <w:rPr>
          <w:rFonts w:hint="eastAsia"/>
          <w:lang w:val="en-US" w:eastAsia="zh-CN"/>
        </w:rPr>
        <w:t>4.2 未来发展建议</w:t>
      </w:r>
      <w:bookmarkEnd w:id="12"/>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在此基础上，本研究认为，要正确认识盐都区博物馆的观众，更好地为盐都区博物馆的观众提供服务，盐都区博物馆应该至少从政策上推动以下三点：</w:t>
      </w:r>
    </w:p>
    <w:p>
      <w:pPr>
        <w:bidi w:val="0"/>
        <w:ind w:firstLine="562" w:firstLineChars="200"/>
        <w:jc w:val="both"/>
        <w:rPr>
          <w:rFonts w:hint="eastAsia" w:ascii="Calibri" w:hAnsi="Calibri" w:eastAsia="仿宋" w:cs="Calibri"/>
          <w:b/>
          <w:bCs/>
          <w:sz w:val="28"/>
          <w:szCs w:val="28"/>
          <w:lang w:val="en-US" w:eastAsia="zh-CN"/>
        </w:rPr>
      </w:pPr>
      <w:r>
        <w:rPr>
          <w:rFonts w:hint="eastAsia" w:ascii="Calibri" w:hAnsi="Calibri" w:eastAsia="仿宋" w:cs="Calibri"/>
          <w:b/>
          <w:bCs/>
          <w:sz w:val="28"/>
          <w:szCs w:val="28"/>
          <w:lang w:val="en-US" w:eastAsia="zh-CN"/>
        </w:rPr>
        <w:t>（1）加强宣传</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在如今信息传播手段网络化的时代，博物馆完全可以借助、发挥网络的力量，扩大影响力，吸引潜在的观众，丰富博物馆观众的类型。目前，水浒馆仍需要继续加大社交媒体的宣传力度，吸引更多的省内外观众。不过考虑到各个人群所接收信息的渠道不同，博物馆应该通过更多的方式进行推广，特别也要考虑到老年人和青少年群体，比如为他们投放电视、报纸等传统媒体的广告宣传，与学校共同举办教育活动等。</w:t>
      </w:r>
    </w:p>
    <w:p>
      <w:pPr>
        <w:bidi w:val="0"/>
        <w:ind w:firstLine="562" w:firstLineChars="200"/>
        <w:jc w:val="both"/>
        <w:rPr>
          <w:rFonts w:hint="eastAsia" w:ascii="Calibri" w:hAnsi="Calibri" w:eastAsia="仿宋" w:cs="Calibri"/>
          <w:b/>
          <w:bCs/>
          <w:sz w:val="28"/>
          <w:szCs w:val="28"/>
          <w:lang w:val="en-US" w:eastAsia="zh-CN"/>
        </w:rPr>
      </w:pPr>
      <w:r>
        <w:rPr>
          <w:rFonts w:hint="eastAsia" w:ascii="Calibri" w:hAnsi="Calibri" w:eastAsia="仿宋" w:cs="Calibri"/>
          <w:b/>
          <w:bCs/>
          <w:sz w:val="28"/>
          <w:szCs w:val="28"/>
          <w:lang w:val="en-US" w:eastAsia="zh-CN"/>
        </w:rPr>
        <w:t>（2）提升社教服务能力</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盐都区博物馆服务的本质是要在展览/展品与观众之间形成有效的“沟通”，这种服务所需要的专业性相当强。微信语音导览因宣传不到位、观众在别馆体验不佳等原因，观众对此存在“偏见”，加上缺少耳机、手机电量等因素的限制，而不被许多人真正接受和使用。所以在改进微信语音导览时，可以考虑加深讲解内容，以满足高学历观众的需要，并不断推广宣传，推出耳机和充电设备的租借服务，减少外部设备对微信语音导览的限制。同时，博物馆应该适当增加文字说明，增加志愿者讲解场次，满足自由参观的观众的需求。</w:t>
      </w:r>
    </w:p>
    <w:p>
      <w:pPr>
        <w:bidi w:val="0"/>
        <w:ind w:firstLine="560" w:firstLineChars="200"/>
        <w:jc w:val="both"/>
        <w:rPr>
          <w:rFonts w:hint="eastAsia" w:ascii="Calibri" w:hAnsi="Calibri" w:eastAsia="仿宋" w:cs="Calibri"/>
          <w:b w:val="0"/>
          <w:bCs w:val="0"/>
          <w:sz w:val="28"/>
          <w:szCs w:val="28"/>
          <w:lang w:val="en-US" w:eastAsia="zh-CN"/>
        </w:rPr>
      </w:pPr>
      <w:r>
        <w:rPr>
          <w:rFonts w:hint="eastAsia" w:ascii="Calibri" w:hAnsi="Calibri" w:eastAsia="仿宋" w:cs="Calibri"/>
          <w:b w:val="0"/>
          <w:bCs w:val="0"/>
          <w:sz w:val="28"/>
          <w:szCs w:val="28"/>
          <w:lang w:val="en-US" w:eastAsia="zh-CN"/>
        </w:rPr>
        <w:t>本次调查由于有些问题的设计存在一定局限，得出的结果也存在有局限性。例如没有对观众进行更加深入细分；没有更加关注观众对展览的看法，没有关注教育活动的调研。在随后的深入研究中，期待一一解决上述问题。</w:t>
      </w:r>
    </w:p>
    <w:p>
      <w:pPr>
        <w:bidi w:val="0"/>
        <w:ind w:firstLine="560" w:firstLineChars="200"/>
        <w:jc w:val="both"/>
        <w:rPr>
          <w:rFonts w:hint="eastAsia" w:ascii="Calibri" w:hAnsi="Calibri" w:eastAsia="仿宋" w:cs="Calibri"/>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b/>
          <w:bCs/>
          <w:sz w:val="32"/>
          <w:szCs w:val="32"/>
        </w:rPr>
      </w:pPr>
      <w:r>
        <w:rPr>
          <w:rFonts w:hint="eastAsia"/>
          <w:b/>
          <w:bCs/>
          <w:sz w:val="32"/>
          <w:szCs w:val="32"/>
          <w:lang w:eastAsia="zh-CN"/>
        </w:rPr>
        <w:t>盐都区博物馆</w:t>
      </w:r>
      <w:r>
        <w:rPr>
          <w:rFonts w:hint="eastAsia"/>
          <w:b/>
          <w:bCs/>
          <w:sz w:val="32"/>
          <w:szCs w:val="32"/>
        </w:rPr>
        <w:t>202</w:t>
      </w:r>
      <w:r>
        <w:rPr>
          <w:rFonts w:hint="eastAsia"/>
          <w:b/>
          <w:bCs/>
          <w:sz w:val="32"/>
          <w:szCs w:val="32"/>
          <w:lang w:val="en-US" w:eastAsia="zh-CN"/>
        </w:rPr>
        <w:t>3</w:t>
      </w:r>
      <w:r>
        <w:rPr>
          <w:rFonts w:hint="eastAsia"/>
          <w:b/>
          <w:bCs/>
          <w:sz w:val="32"/>
          <w:szCs w:val="32"/>
        </w:rPr>
        <w:t xml:space="preserve"> 年观众调查问卷</w:t>
      </w:r>
    </w:p>
    <w:p>
      <w:pPr>
        <w:rPr>
          <w:rFonts w:hint="eastAsia"/>
          <w:sz w:val="28"/>
          <w:szCs w:val="28"/>
        </w:rPr>
      </w:pPr>
      <w:r>
        <w:rPr>
          <w:rFonts w:hint="eastAsia"/>
          <w:sz w:val="28"/>
          <w:szCs w:val="28"/>
        </w:rPr>
        <w:t>亲爱的游客：</w:t>
      </w:r>
    </w:p>
    <w:p>
      <w:pPr>
        <w:ind w:firstLine="560" w:firstLineChars="200"/>
        <w:rPr>
          <w:rFonts w:hint="eastAsia"/>
          <w:sz w:val="28"/>
          <w:szCs w:val="28"/>
        </w:rPr>
      </w:pPr>
      <w:r>
        <w:rPr>
          <w:rFonts w:hint="eastAsia"/>
          <w:sz w:val="28"/>
          <w:szCs w:val="28"/>
        </w:rPr>
        <w:t>欢迎您参观</w:t>
      </w:r>
      <w:r>
        <w:rPr>
          <w:rFonts w:hint="eastAsia"/>
          <w:sz w:val="28"/>
          <w:szCs w:val="28"/>
          <w:lang w:eastAsia="zh-CN"/>
        </w:rPr>
        <w:t>盐都区博物馆</w:t>
      </w:r>
      <w:r>
        <w:rPr>
          <w:rFonts w:hint="eastAsia"/>
          <w:sz w:val="28"/>
          <w:szCs w:val="28"/>
        </w:rPr>
        <w:t>！非常感谢您在百忙中抽空填此问卷，您的积极合作将为</w:t>
      </w:r>
      <w:r>
        <w:rPr>
          <w:rFonts w:hint="eastAsia"/>
          <w:sz w:val="28"/>
          <w:szCs w:val="28"/>
          <w:lang w:eastAsia="zh-CN"/>
        </w:rPr>
        <w:t>盐都区博物馆</w:t>
      </w:r>
      <w:r>
        <w:rPr>
          <w:rFonts w:hint="eastAsia"/>
          <w:sz w:val="28"/>
          <w:szCs w:val="28"/>
        </w:rPr>
        <w:t>的建设提供重要的参考价值。（请在选项数字上</w:t>
      </w:r>
      <w:r>
        <w:rPr>
          <w:rFonts w:hint="eastAsia"/>
          <w:sz w:val="28"/>
          <w:szCs w:val="28"/>
          <w:lang w:val="en-US" w:eastAsia="zh-CN"/>
        </w:rPr>
        <w:t>打</w:t>
      </w:r>
      <w:r>
        <w:rPr>
          <w:rFonts w:hint="eastAsia"/>
          <w:sz w:val="28"/>
          <w:szCs w:val="28"/>
        </w:rPr>
        <w:t>“</w:t>
      </w:r>
      <w:r>
        <w:rPr>
          <w:rFonts w:hint="default" w:ascii="Arial" w:hAnsi="Arial" w:cs="Arial"/>
          <w:sz w:val="28"/>
          <w:szCs w:val="28"/>
        </w:rPr>
        <w:t>√</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1、</w:t>
      </w:r>
      <w:r>
        <w:rPr>
          <w:rFonts w:hint="eastAsia" w:ascii="仿宋" w:hAnsi="仿宋" w:eastAsia="仿宋" w:cs="仿宋"/>
          <w:b/>
          <w:bCs/>
          <w:sz w:val="24"/>
          <w:szCs w:val="24"/>
        </w:rPr>
        <w:t>您的性别:（单选）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（1）男 （2）女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2、您的年龄：（单选）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8</w:t>
      </w:r>
      <w:r>
        <w:rPr>
          <w:rFonts w:hint="eastAsia" w:ascii="仿宋" w:hAnsi="仿宋" w:eastAsia="仿宋" w:cs="仿宋"/>
          <w:sz w:val="24"/>
          <w:szCs w:val="24"/>
        </w:rPr>
        <w:t>岁及以下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w:t>
      </w:r>
      <w:r>
        <w:rPr>
          <w:rFonts w:hint="eastAsia" w:ascii="仿宋" w:hAnsi="仿宋" w:eastAsia="仿宋" w:cs="仿宋"/>
          <w:sz w:val="24"/>
          <w:szCs w:val="24"/>
          <w:lang w:val="en-US" w:eastAsia="zh-CN"/>
        </w:rPr>
        <w:t>9</w:t>
      </w:r>
      <w:r>
        <w:rPr>
          <w:rFonts w:hint="eastAsia" w:ascii="仿宋" w:hAnsi="仿宋" w:eastAsia="仿宋" w:cs="仿宋"/>
          <w:sz w:val="24"/>
          <w:szCs w:val="24"/>
        </w:rPr>
        <w:t>至3</w:t>
      </w:r>
      <w:r>
        <w:rPr>
          <w:rFonts w:hint="eastAsia" w:ascii="仿宋" w:hAnsi="仿宋" w:eastAsia="仿宋" w:cs="仿宋"/>
          <w:sz w:val="24"/>
          <w:szCs w:val="24"/>
          <w:lang w:val="en-US" w:eastAsia="zh-CN"/>
        </w:rPr>
        <w:t>0</w:t>
      </w:r>
      <w:r>
        <w:rPr>
          <w:rFonts w:hint="eastAsia" w:ascii="仿宋" w:hAnsi="仿宋" w:eastAsia="仿宋" w:cs="仿宋"/>
          <w:sz w:val="24"/>
          <w:szCs w:val="24"/>
        </w:rPr>
        <w:t>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（3）3</w:t>
      </w:r>
      <w:r>
        <w:rPr>
          <w:rFonts w:hint="eastAsia" w:ascii="仿宋" w:hAnsi="仿宋" w:eastAsia="仿宋" w:cs="仿宋"/>
          <w:sz w:val="24"/>
          <w:szCs w:val="24"/>
          <w:lang w:val="en-US" w:eastAsia="zh-CN"/>
        </w:rPr>
        <w:t>1</w:t>
      </w:r>
      <w:r>
        <w:rPr>
          <w:rFonts w:hint="eastAsia" w:ascii="仿宋" w:hAnsi="仿宋" w:eastAsia="仿宋" w:cs="仿宋"/>
          <w:sz w:val="24"/>
          <w:szCs w:val="24"/>
        </w:rPr>
        <w:t>至</w:t>
      </w:r>
      <w:r>
        <w:rPr>
          <w:rFonts w:hint="eastAsia" w:ascii="仿宋" w:hAnsi="仿宋" w:eastAsia="仿宋" w:cs="仿宋"/>
          <w:sz w:val="24"/>
          <w:szCs w:val="24"/>
          <w:lang w:val="en-US" w:eastAsia="zh-CN"/>
        </w:rPr>
        <w:t>60</w:t>
      </w:r>
      <w:r>
        <w:rPr>
          <w:rFonts w:hint="eastAsia" w:ascii="仿宋" w:hAnsi="仿宋" w:eastAsia="仿宋" w:cs="仿宋"/>
          <w:sz w:val="24"/>
          <w:szCs w:val="24"/>
        </w:rPr>
        <w:t>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（4）60岁以上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、您目前的居住地:（单选）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Calibri"/>
          <w:b/>
          <w:bCs/>
          <w:sz w:val="24"/>
          <w:szCs w:val="24"/>
          <w:lang w:val="en-US" w:eastAsia="zh-CN"/>
        </w:rPr>
      </w:pPr>
      <w:r>
        <w:rPr>
          <w:rFonts w:hint="eastAsia" w:ascii="仿宋" w:hAnsi="仿宋" w:eastAsia="仿宋" w:cs="仿宋"/>
          <w:sz w:val="24"/>
          <w:szCs w:val="24"/>
        </w:rPr>
        <w:t xml:space="preserve">（1）本市（盐城市）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（2）本省（江苏省除盐城）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（3）省外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rPr>
        <w:t>您的职业：（单选）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（1）学生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军人  </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事业单位与公务员   </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离</w:t>
      </w:r>
      <w:r>
        <w:rPr>
          <w:rFonts w:hint="eastAsia" w:ascii="仿宋" w:hAnsi="仿宋" w:eastAsia="仿宋" w:cs="仿宋"/>
          <w:sz w:val="24"/>
          <w:szCs w:val="24"/>
        </w:rPr>
        <w:t>退休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5、您以前来过盐都区博物馆吗？</w:t>
      </w:r>
      <w:r>
        <w:rPr>
          <w:rFonts w:hint="eastAsia" w:ascii="仿宋" w:hAnsi="仿宋" w:eastAsia="仿宋" w:cs="仿宋"/>
          <w:b/>
          <w:bCs/>
          <w:sz w:val="24"/>
          <w:szCs w:val="24"/>
        </w:rPr>
        <w:t>（单选）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（1）是            （2）否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6、您一般在馆内停留的时间：（单选）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（1）30分钟以内     （2）0.5-1小时     （3）1小时以上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kern w:val="2"/>
          <w:sz w:val="24"/>
          <w:szCs w:val="24"/>
          <w:lang w:val="en-US" w:eastAsia="zh-CN" w:bidi="ar-SA"/>
        </w:rPr>
        <w:t>7、</w:t>
      </w:r>
      <w:r>
        <w:rPr>
          <w:rFonts w:hint="eastAsia" w:ascii="仿宋" w:hAnsi="仿宋" w:eastAsia="仿宋" w:cs="仿宋"/>
          <w:b/>
          <w:bCs/>
          <w:sz w:val="24"/>
          <w:szCs w:val="24"/>
          <w:lang w:val="en-US" w:eastAsia="zh-CN"/>
        </w:rPr>
        <w:t>您来参观的主要原因：（多选）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（1）休闲娱乐观光     （2）增长知识             （3）工作或学习的需要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（4）参观特别的展览   （5）参加博物馆的活动     （6）个人兴趣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（7）陪同他人         （8）其他</w:t>
      </w:r>
      <w:r>
        <w:rPr>
          <w:rFonts w:hint="eastAsia" w:ascii="仿宋" w:hAnsi="仿宋" w:eastAsia="仿宋" w:cs="仿宋"/>
          <w:sz w:val="24"/>
          <w:szCs w:val="24"/>
        </w:rPr>
        <w:t>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8、您这次参观达到目的了吗？如果没有，什么原因？（单选）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（1）是            （2）否            （3）未达到目的的原因</w:t>
      </w:r>
      <w:r>
        <w:rPr>
          <w:rFonts w:hint="eastAsia" w:ascii="仿宋" w:hAnsi="仿宋" w:eastAsia="仿宋" w:cs="仿宋"/>
          <w:sz w:val="24"/>
          <w:szCs w:val="24"/>
        </w:rPr>
        <w:t>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9、您的出游方式？（单选）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（1）旅行社跟团游（2）自发组织团队（3）个人游览（4）其他</w:t>
      </w:r>
      <w:r>
        <w:rPr>
          <w:rFonts w:hint="eastAsia" w:ascii="仿宋" w:hAnsi="仿宋" w:eastAsia="仿宋" w:cs="仿宋"/>
          <w:sz w:val="24"/>
          <w:szCs w:val="24"/>
        </w:rPr>
        <w:t>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10、您是通过什么途径了解盐都区博物馆的：（多选）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（1）官方微信公众号                 （2）官方网站    （3）旅行社介绍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（4）广播、电视或报纸等传统媒介     （5）听熟人讲的   （6）其他_______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11、</w:t>
      </w:r>
      <w:r>
        <w:rPr>
          <w:rFonts w:hint="default" w:ascii="仿宋" w:hAnsi="仿宋" w:eastAsia="仿宋" w:cs="仿宋"/>
          <w:b/>
          <w:bCs/>
          <w:sz w:val="24"/>
          <w:szCs w:val="24"/>
          <w:lang w:val="en-US" w:eastAsia="zh-CN"/>
        </w:rPr>
        <w:t>您对</w:t>
      </w:r>
      <w:r>
        <w:rPr>
          <w:rFonts w:hint="eastAsia" w:ascii="仿宋" w:hAnsi="仿宋" w:eastAsia="仿宋" w:cs="仿宋"/>
          <w:b/>
          <w:bCs/>
          <w:sz w:val="24"/>
          <w:szCs w:val="24"/>
          <w:lang w:val="en-US" w:eastAsia="zh-CN"/>
        </w:rPr>
        <w:t>盐都区博物</w:t>
      </w:r>
      <w:bookmarkStart w:id="13" w:name="_GoBack"/>
      <w:bookmarkEnd w:id="13"/>
      <w:r>
        <w:rPr>
          <w:rFonts w:hint="default" w:ascii="仿宋" w:hAnsi="仿宋" w:eastAsia="仿宋" w:cs="仿宋"/>
          <w:b/>
          <w:bCs/>
          <w:sz w:val="24"/>
          <w:szCs w:val="24"/>
          <w:lang w:val="en-US" w:eastAsia="zh-CN"/>
        </w:rPr>
        <w:t>馆的服务和设施等感到满意吗？</w:t>
      </w:r>
      <w:r>
        <w:rPr>
          <w:rFonts w:hint="eastAsia" w:ascii="仿宋" w:hAnsi="仿宋" w:eastAsia="仿宋" w:cs="仿宋"/>
          <w:b/>
          <w:bCs/>
          <w:sz w:val="24"/>
          <w:szCs w:val="24"/>
          <w:lang w:val="en-US" w:eastAsia="zh-CN"/>
        </w:rPr>
        <w:t>（单选）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00"/>
        <w:gridCol w:w="750"/>
        <w:gridCol w:w="750"/>
        <w:gridCol w:w="1230"/>
        <w:gridCol w:w="96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mc:AlternateContent>
                <mc:Choice Requires="wpsCustomData">
                  <wpsCustomData:diagonalParaType/>
                </mc:Choice>
              </mc:AlternateConten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评价</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非常满意</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满意</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一般</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不太满意</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不满意</w:t>
            </w:r>
          </w:p>
        </w:tc>
        <w:tc>
          <w:tcPr>
            <w:tcW w:w="168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未使用该服务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路标指引</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68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咨询</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68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讲解服务</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68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休息休闲设施</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68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社会教育等活动</w:t>
            </w:r>
          </w:p>
        </w:tc>
        <w:tc>
          <w:tcPr>
            <w:tcW w:w="12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75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c>
          <w:tcPr>
            <w:tcW w:w="168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、您对工作人员的服务满意度如何：（单选）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、您对本次参观总体满意度如何：（单选）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（4）不太满意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、您对展</w:t>
      </w:r>
      <w:r>
        <w:rPr>
          <w:rFonts w:hint="eastAsia" w:ascii="仿宋" w:hAnsi="仿宋" w:eastAsia="仿宋" w:cs="仿宋"/>
          <w:b/>
          <w:bCs/>
          <w:sz w:val="24"/>
          <w:szCs w:val="24"/>
          <w:lang w:val="en-US" w:eastAsia="zh-CN"/>
        </w:rPr>
        <w:t>览的</w:t>
      </w:r>
      <w:r>
        <w:rPr>
          <w:rFonts w:hint="eastAsia" w:ascii="仿宋" w:hAnsi="仿宋" w:eastAsia="仿宋" w:cs="仿宋"/>
          <w:b/>
          <w:bCs/>
          <w:sz w:val="24"/>
          <w:szCs w:val="24"/>
        </w:rPr>
        <w:t>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（1）非常满意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、您对本馆感兴趣的展览内容：</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多选</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盐都红色文化</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盐</w:t>
      </w:r>
      <w:r>
        <w:rPr>
          <w:rFonts w:hint="eastAsia" w:ascii="仿宋" w:hAnsi="仿宋" w:eastAsia="仿宋" w:cs="仿宋"/>
          <w:sz w:val="24"/>
          <w:szCs w:val="24"/>
          <w:lang w:val="en-US" w:eastAsia="zh-CN"/>
        </w:rPr>
        <w:t>都</w:t>
      </w:r>
      <w:r>
        <w:rPr>
          <w:rFonts w:hint="eastAsia" w:ascii="仿宋" w:hAnsi="仿宋" w:eastAsia="仿宋" w:cs="仿宋"/>
          <w:sz w:val="24"/>
          <w:szCs w:val="24"/>
        </w:rPr>
        <w:t xml:space="preserve">地方历史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盐都人文历史</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盐都水乡民俗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 xml:space="preserve">博物馆的文物藏品  </w:t>
      </w:r>
      <w:r>
        <w:rPr>
          <w:rFonts w:hint="eastAsia" w:ascii="仿宋" w:hAnsi="仿宋" w:eastAsia="仿宋" w:cs="仿宋"/>
          <w:sz w:val="24"/>
          <w:szCs w:val="24"/>
          <w:lang w:val="en-US" w:eastAsia="zh-CN"/>
        </w:rPr>
        <w:t>（6）</w:t>
      </w:r>
      <w:r>
        <w:rPr>
          <w:rFonts w:hint="eastAsia" w:ascii="仿宋" w:hAnsi="仿宋" w:eastAsia="仿宋" w:cs="仿宋"/>
          <w:sz w:val="24"/>
          <w:szCs w:val="24"/>
        </w:rPr>
        <w:t>水浒文化知识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15、您会再次参观盐都区博物馆吗？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（1）一定会      （2）可能会      （3）应该不会      （4）不会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、您会向其他人推荐</w:t>
      </w:r>
      <w:r>
        <w:rPr>
          <w:rFonts w:hint="eastAsia" w:ascii="仿宋" w:hAnsi="仿宋" w:eastAsia="仿宋" w:cs="仿宋"/>
          <w:b/>
          <w:bCs/>
          <w:sz w:val="24"/>
          <w:szCs w:val="24"/>
          <w:lang w:eastAsia="zh-CN"/>
        </w:rPr>
        <w:t>盐都区博物馆</w:t>
      </w:r>
      <w:r>
        <w:rPr>
          <w:rFonts w:hint="eastAsia" w:ascii="仿宋" w:hAnsi="仿宋" w:eastAsia="仿宋" w:cs="仿宋"/>
          <w:b/>
          <w:bCs/>
          <w:sz w:val="24"/>
          <w:szCs w:val="24"/>
        </w:rPr>
        <w:t>吗:（单选）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、如果您再次来参观，希望</w:t>
      </w:r>
      <w:r>
        <w:rPr>
          <w:rFonts w:hint="eastAsia" w:ascii="仿宋" w:hAnsi="仿宋" w:eastAsia="仿宋" w:cs="仿宋"/>
          <w:b/>
          <w:bCs/>
          <w:sz w:val="24"/>
          <w:szCs w:val="24"/>
          <w:lang w:val="en-US" w:eastAsia="zh-CN"/>
        </w:rPr>
        <w:t>盐都区博物馆</w:t>
      </w:r>
      <w:r>
        <w:rPr>
          <w:rFonts w:hint="eastAsia" w:ascii="仿宋" w:hAnsi="仿宋" w:eastAsia="仿宋" w:cs="仿宋"/>
          <w:b/>
          <w:bCs/>
          <w:sz w:val="24"/>
          <w:szCs w:val="24"/>
        </w:rPr>
        <w:t>有哪些变化？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感谢您的配合！欢迎您再次参观</w:t>
      </w:r>
      <w:r>
        <w:rPr>
          <w:rFonts w:hint="eastAsia" w:ascii="宋体" w:hAnsi="宋体" w:eastAsia="宋体" w:cs="宋体"/>
          <w:b w:val="0"/>
          <w:bCs w:val="0"/>
          <w:sz w:val="28"/>
          <w:szCs w:val="28"/>
          <w:lang w:eastAsia="zh-CN"/>
        </w:rPr>
        <w:t>盐都区博物馆</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NTBhN2I4YzFhMjA5ZGRmZmNiYmUyMjA3ZTAxYTkifQ=="/>
  </w:docVars>
  <w:rsids>
    <w:rsidRoot w:val="4DEC1BC1"/>
    <w:rsid w:val="3664008A"/>
    <w:rsid w:val="4DEC1BC1"/>
    <w:rsid w:val="541C24B1"/>
    <w:rsid w:val="75EC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autoRedefine/>
    <w:qFormat/>
    <w:uiPriority w:val="0"/>
  </w:style>
  <w:style w:type="paragraph" w:styleId="5">
    <w:name w:val="toc 2"/>
    <w:basedOn w:val="1"/>
    <w:next w:val="1"/>
    <w:uiPriority w:val="0"/>
    <w:pPr>
      <w:ind w:left="420" w:left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休闲娱乐观光</c:v>
                </c:pt>
                <c:pt idx="1">
                  <c:v>增长知识</c:v>
                </c:pt>
                <c:pt idx="2">
                  <c:v>工作或学习的需要</c:v>
                </c:pt>
                <c:pt idx="3">
                  <c:v>参观特别的展览</c:v>
                </c:pt>
                <c:pt idx="4">
                  <c:v>参观博物馆的活动</c:v>
                </c:pt>
                <c:pt idx="5">
                  <c:v>个人兴趣</c:v>
                </c:pt>
                <c:pt idx="6">
                  <c:v>陪同他人</c:v>
                </c:pt>
                <c:pt idx="7">
                  <c:v>其他</c:v>
                </c:pt>
              </c:strCache>
            </c:strRef>
          </c:cat>
          <c:val>
            <c:numRef>
              <c:f>Sheet1!$B$2:$B$9</c:f>
              <c:numCache>
                <c:formatCode>0.00%</c:formatCode>
                <c:ptCount val="8"/>
                <c:pt idx="0">
                  <c:v>0.274</c:v>
                </c:pt>
                <c:pt idx="1">
                  <c:v>0.382</c:v>
                </c:pt>
                <c:pt idx="2">
                  <c:v>0.396</c:v>
                </c:pt>
                <c:pt idx="3">
                  <c:v>0.063</c:v>
                </c:pt>
                <c:pt idx="4">
                  <c:v>0.109</c:v>
                </c:pt>
                <c:pt idx="5">
                  <c:v>0.168</c:v>
                </c:pt>
                <c:pt idx="6">
                  <c:v>0.032</c:v>
                </c:pt>
                <c:pt idx="7">
                  <c:v>0.049</c:v>
                </c:pt>
              </c:numCache>
            </c:numRef>
          </c:val>
        </c:ser>
        <c:dLbls>
          <c:showLegendKey val="0"/>
          <c:showVal val="1"/>
          <c:showCatName val="0"/>
          <c:showSerName val="0"/>
          <c:showPercent val="0"/>
          <c:showBubbleSize val="0"/>
        </c:dLbls>
        <c:gapWidth val="246"/>
        <c:overlap val="-28"/>
        <c:axId val="627907683"/>
        <c:axId val="345498262"/>
      </c:barChart>
      <c:catAx>
        <c:axId val="6279076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5498262"/>
        <c:crosses val="autoZero"/>
        <c:auto val="1"/>
        <c:lblAlgn val="ctr"/>
        <c:lblOffset val="100"/>
        <c:noMultiLvlLbl val="0"/>
      </c:catAx>
      <c:valAx>
        <c:axId val="345498262"/>
        <c:scaling>
          <c:orientation val="minMax"/>
        </c:scaling>
        <c:delete val="0"/>
        <c:axPos val="l"/>
        <c:majorGridlines>
          <c:spPr>
            <a:ln w="9525" cap="flat" cmpd="sng" algn="ctr">
              <a:solidFill>
                <a:schemeClr val="lt1">
                  <a:lumMod val="90200"/>
                </a:schemeClr>
              </a:solidFill>
              <a:round/>
            </a:ln>
            <a:effectLst/>
          </c:spPr>
        </c:majorGridlines>
        <c:numFmt formatCode="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9076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是</c:v>
                </c:pt>
                <c:pt idx="1">
                  <c:v>否</c:v>
                </c:pt>
              </c:strCache>
            </c:strRef>
          </c:cat>
          <c:val>
            <c:numRef>
              <c:f>Sheet1!$B$2:$B$3</c:f>
              <c:numCache>
                <c:formatCode>0.00%</c:formatCode>
                <c:ptCount val="2"/>
                <c:pt idx="0">
                  <c:v>0.965</c:v>
                </c:pt>
                <c:pt idx="1">
                  <c:v>0.035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路标指引</c:v>
                </c:pt>
                <c:pt idx="1">
                  <c:v>咨询</c:v>
                </c:pt>
                <c:pt idx="2">
                  <c:v>讲解服务</c:v>
                </c:pt>
                <c:pt idx="3">
                  <c:v>休息休闲设施</c:v>
                </c:pt>
                <c:pt idx="4">
                  <c:v>社会教育活动</c:v>
                </c:pt>
              </c:strCache>
            </c:strRef>
          </c:cat>
          <c:val>
            <c:numRef>
              <c:f>Sheet1!$B$2:$B$6</c:f>
              <c:numCache>
                <c:formatCode>0.00%</c:formatCode>
                <c:ptCount val="5"/>
                <c:pt idx="0">
                  <c:v>0.961</c:v>
                </c:pt>
                <c:pt idx="1">
                  <c:v>0.533</c:v>
                </c:pt>
                <c:pt idx="2">
                  <c:v>0.456</c:v>
                </c:pt>
                <c:pt idx="3">
                  <c:v>0.874</c:v>
                </c:pt>
                <c:pt idx="4">
                  <c:v>0.214</c:v>
                </c:pt>
              </c:numCache>
            </c:numRef>
          </c:val>
        </c:ser>
        <c:dLbls>
          <c:showLegendKey val="0"/>
          <c:showVal val="1"/>
          <c:showCatName val="0"/>
          <c:showSerName val="0"/>
          <c:showPercent val="0"/>
          <c:showBubbleSize val="0"/>
        </c:dLbls>
        <c:gapWidth val="246"/>
        <c:overlap val="-28"/>
        <c:axId val="260200497"/>
        <c:axId val="404371752"/>
      </c:barChart>
      <c:catAx>
        <c:axId val="2602004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371752"/>
        <c:crosses val="autoZero"/>
        <c:auto val="1"/>
        <c:lblAlgn val="ctr"/>
        <c:lblOffset val="100"/>
        <c:noMultiLvlLbl val="0"/>
      </c:catAx>
      <c:valAx>
        <c:axId val="404371752"/>
        <c:scaling>
          <c:orientation val="minMax"/>
        </c:scaling>
        <c:delete val="0"/>
        <c:axPos val="l"/>
        <c:majorGridlines>
          <c:spPr>
            <a:ln w="9525" cap="flat" cmpd="sng" algn="ctr">
              <a:solidFill>
                <a:schemeClr val="lt1">
                  <a:lumMod val="90200"/>
                </a:schemeClr>
              </a:solidFill>
              <a:round/>
            </a:ln>
            <a:effectLst/>
          </c:spPr>
        </c:majorGridlines>
        <c:numFmt formatCode="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20049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一定会</c:v>
                </c:pt>
                <c:pt idx="1">
                  <c:v>可能会</c:v>
                </c:pt>
                <c:pt idx="2">
                  <c:v>应该不会</c:v>
                </c:pt>
                <c:pt idx="3">
                  <c:v>不会</c:v>
                </c:pt>
              </c:strCache>
            </c:strRef>
          </c:cat>
          <c:val>
            <c:numRef>
              <c:f>Sheet1!$B$2:$B$5</c:f>
              <c:numCache>
                <c:formatCode>0.00%</c:formatCode>
                <c:ptCount val="4"/>
                <c:pt idx="0">
                  <c:v>0.592</c:v>
                </c:pt>
                <c:pt idx="1">
                  <c:v>0.382</c:v>
                </c:pt>
                <c:pt idx="2">
                  <c:v>0.024</c:v>
                </c:pt>
                <c:pt idx="3">
                  <c:v>0.002</c:v>
                </c:pt>
              </c:numCache>
            </c:numRef>
          </c:val>
        </c:ser>
        <c:dLbls>
          <c:showLegendKey val="0"/>
          <c:showVal val="1"/>
          <c:showCatName val="0"/>
          <c:showSerName val="0"/>
          <c:showPercent val="0"/>
          <c:showBubbleSize val="0"/>
        </c:dLbls>
        <c:gapWidth val="246"/>
        <c:overlap val="-28"/>
        <c:axId val="507906485"/>
        <c:axId val="195196159"/>
      </c:barChart>
      <c:catAx>
        <c:axId val="5079064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196159"/>
        <c:crosses val="autoZero"/>
        <c:auto val="1"/>
        <c:lblAlgn val="ctr"/>
        <c:lblOffset val="100"/>
        <c:noMultiLvlLbl val="0"/>
      </c:catAx>
      <c:valAx>
        <c:axId val="195196159"/>
        <c:scaling>
          <c:orientation val="minMax"/>
        </c:scaling>
        <c:delete val="0"/>
        <c:axPos val="l"/>
        <c:majorGridlines>
          <c:spPr>
            <a:ln w="9525" cap="flat" cmpd="sng" algn="ctr">
              <a:solidFill>
                <a:schemeClr val="lt1">
                  <a:lumMod val="90200"/>
                </a:schemeClr>
              </a:solidFill>
              <a:round/>
            </a:ln>
            <a:effectLst/>
          </c:spPr>
        </c:majorGridlines>
        <c:numFmt formatCode="0.0%" sourceLinked="0"/>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79064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是</c:v>
                </c:pt>
                <c:pt idx="1">
                  <c:v>否</c:v>
                </c:pt>
              </c:strCache>
            </c:strRef>
          </c:cat>
          <c:val>
            <c:numRef>
              <c:f>Sheet1!$B$2:$B$3</c:f>
              <c:numCache>
                <c:formatCode>0.00%</c:formatCode>
                <c:ptCount val="2"/>
                <c:pt idx="0">
                  <c:v>0.992</c:v>
                </c:pt>
                <c:pt idx="1">
                  <c:v>0.008</c:v>
                </c:pt>
              </c:numCache>
            </c:numRef>
          </c:val>
        </c:ser>
        <c:dLbls>
          <c:showLegendKey val="0"/>
          <c:showVal val="1"/>
          <c:showCatName val="0"/>
          <c:showSerName val="0"/>
          <c:showPercent val="0"/>
          <c:showBubbleSize val="0"/>
        </c:dLbls>
        <c:gapWidth val="246"/>
        <c:overlap val="-28"/>
        <c:axId val="376309306"/>
        <c:axId val="412457690"/>
      </c:barChart>
      <c:catAx>
        <c:axId val="3763093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457690"/>
        <c:crosses val="autoZero"/>
        <c:auto val="1"/>
        <c:lblAlgn val="ctr"/>
        <c:lblOffset val="100"/>
        <c:noMultiLvlLbl val="0"/>
      </c:catAx>
      <c:valAx>
        <c:axId val="412457690"/>
        <c:scaling>
          <c:orientation val="minMax"/>
        </c:scaling>
        <c:delete val="0"/>
        <c:axPos val="l"/>
        <c:majorGridlines>
          <c:spPr>
            <a:ln w="9525" cap="flat" cmpd="sng" algn="ctr">
              <a:solidFill>
                <a:schemeClr val="lt1">
                  <a:lumMod val="90200"/>
                </a:schemeClr>
              </a:solidFill>
              <a:round/>
            </a:ln>
            <a:effectLst/>
          </c:spPr>
        </c:majorGridlines>
        <c:numFmt formatCode="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63093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2024-02-26T01:10:00Z</dcterms:created>
  <dc:creator>lemon</dc:creator>
  <cp:lastModifiedBy>最后我还是跟丢了。</cp:lastModifiedBy>
  <dcterms:modified xsi:type="dcterms:W3CDTF">2024-02-26T09:29:23Z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57E531CC8914461099985609CBC01B3A_13</vt:lpwstr>
  </property>
</Properties>
</file>